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534E" w:rsidRDefault="0012251B">
      <w:r>
        <w:rPr>
          <w:noProof/>
        </w:rPr>
        <w:pict>
          <v:shapetype id="_x0000_t202" coordsize="21600,21600" o:spt="202" path="m,l,21600r21600,l21600,xe">
            <v:stroke joinstyle="miter"/>
            <v:path gradientshapeok="t" o:connecttype="rect"/>
          </v:shapetype>
          <v:shape id="Text Box 2" o:spid="_x0000_s1026" type="#_x0000_t202" style="position:absolute;margin-left:-53.7pt;margin-top:-59.1pt;width:189.1pt;height:70.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">
            <v:textbox>
              <w:txbxContent>
                <w:p w:rsidR="0002534E" w:rsidRDefault="0002534E">
                  <w:r>
                    <w:t>Source</w:t>
                  </w:r>
                </w:p>
                <w:p w:rsidR="0002534E" w:rsidRDefault="0002534E">
                  <w:r w:rsidRPr="0002534E">
                    <w:rPr>
                      <w:noProof/>
                    </w:rPr>
                    <w:drawing>
                      <wp:inline distT="0" distB="0" distL="0" distR="0">
                        <wp:extent cx="2175700" cy="47767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l="15067" t="9795" r="48438" b="75919"/>
                                <a:stretch>
                                  <a:fillRect/>
                                </a:stretch>
                              </pic:blipFill>
                              <pic:spPr bwMode="auto">
                                <a:xfrm>
                                  <a:off x="0" y="0"/>
                                  <a:ext cx="2175700" cy="477672"/>
                                </a:xfrm>
                                <a:prstGeom prst="rect">
                                  <a:avLst/>
                                </a:prstGeom>
                                <a:noFill/>
                                <a:ln w="9525">
                                  <a:noFill/>
                                  <a:miter lim="800000"/>
                                  <a:headEnd/>
                                  <a:tailEnd/>
                                </a:ln>
                              </pic:spPr>
                            </pic:pic>
                          </a:graphicData>
                        </a:graphic>
                      </wp:inline>
                    </w:drawing>
                  </w:r>
                </w:p>
              </w:txbxContent>
            </v:textbox>
          </v:shape>
        </w:pic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Violence in the Holy Land broke out almost immediately after the</w:t>
      </w:r>
      <w:r>
        <w:rPr>
          <w:rStyle w:val="apple-converted-space"/>
          <w:color w:val="000000"/>
          <w:sz w:val="27"/>
          <w:szCs w:val="27"/>
        </w:rPr>
        <w:t> </w:t>
      </w:r>
      <w:hyperlink r:id="rId5" w:history="1">
        <w:r>
          <w:rPr>
            <w:rStyle w:val="Hyperlink"/>
            <w:sz w:val="27"/>
            <w:szCs w:val="27"/>
          </w:rPr>
          <w:t>United Nations</w:t>
        </w:r>
      </w:hyperlink>
      <w:r>
        <w:rPr>
          <w:rStyle w:val="apple-converted-space"/>
          <w:color w:val="000000"/>
          <w:sz w:val="27"/>
          <w:szCs w:val="27"/>
        </w:rPr>
        <w:t> </w:t>
      </w:r>
      <w:r>
        <w:rPr>
          <w:color w:val="000000"/>
          <w:sz w:val="27"/>
          <w:szCs w:val="27"/>
        </w:rPr>
        <w:t>announced</w:t>
      </w:r>
      <w:r>
        <w:rPr>
          <w:rStyle w:val="apple-converted-space"/>
          <w:color w:val="000000"/>
          <w:sz w:val="27"/>
          <w:szCs w:val="27"/>
        </w:rPr>
        <w:t> </w:t>
      </w:r>
      <w:hyperlink r:id="rId6" w:history="1">
        <w:r>
          <w:rPr>
            <w:rStyle w:val="Hyperlink"/>
            <w:sz w:val="27"/>
            <w:szCs w:val="27"/>
          </w:rPr>
          <w:t>partition</w:t>
        </w:r>
      </w:hyperlink>
      <w:r>
        <w:rPr>
          <w:rStyle w:val="apple-converted-space"/>
          <w:color w:val="000000"/>
          <w:sz w:val="27"/>
          <w:szCs w:val="27"/>
        </w:rPr>
        <w:t> </w:t>
      </w:r>
      <w:r>
        <w:rPr>
          <w:color w:val="000000"/>
          <w:sz w:val="27"/>
          <w:szCs w:val="27"/>
        </w:rPr>
        <w:t xml:space="preserve">on November 29, 1947. Jamal </w:t>
      </w:r>
      <w:proofErr w:type="spellStart"/>
      <w:r>
        <w:rPr>
          <w:color w:val="000000"/>
          <w:sz w:val="27"/>
          <w:szCs w:val="27"/>
        </w:rPr>
        <w:t>Husseini</w:t>
      </w:r>
      <w:proofErr w:type="spellEnd"/>
      <w:r>
        <w:rPr>
          <w:color w:val="000000"/>
          <w:sz w:val="27"/>
          <w:szCs w:val="27"/>
        </w:rPr>
        <w:t>, the Arab Higher Committee's spokesman, had told the</w:t>
      </w:r>
      <w:r>
        <w:rPr>
          <w:rStyle w:val="apple-converted-space"/>
          <w:color w:val="000000"/>
          <w:sz w:val="27"/>
          <w:szCs w:val="27"/>
        </w:rPr>
        <w:t> </w:t>
      </w:r>
      <w:hyperlink r:id="rId7" w:history="1">
        <w:r>
          <w:rPr>
            <w:rStyle w:val="Hyperlink"/>
            <w:sz w:val="27"/>
            <w:szCs w:val="27"/>
          </w:rPr>
          <w:t>UN</w:t>
        </w:r>
      </w:hyperlink>
      <w:r>
        <w:rPr>
          <w:rStyle w:val="apple-converted-space"/>
          <w:color w:val="000000"/>
          <w:sz w:val="27"/>
          <w:szCs w:val="27"/>
        </w:rPr>
        <w:t> </w:t>
      </w:r>
      <w:r>
        <w:rPr>
          <w:color w:val="000000"/>
          <w:sz w:val="27"/>
          <w:szCs w:val="27"/>
        </w:rPr>
        <w:t>prior to the partition vote the Arabs would drench "the soil of our beloved country with the last drop of our blood."</w:t>
      </w:r>
      <w:r>
        <w:rPr>
          <w:color w:val="000000"/>
          <w:sz w:val="27"/>
          <w:szCs w:val="27"/>
          <w:vertAlign w:val="superscript"/>
        </w:rPr>
        <w:t>1</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proofErr w:type="spellStart"/>
      <w:r>
        <w:rPr>
          <w:color w:val="000000"/>
          <w:sz w:val="27"/>
          <w:szCs w:val="27"/>
        </w:rPr>
        <w:t>Husseini's</w:t>
      </w:r>
      <w:proofErr w:type="spellEnd"/>
      <w:r>
        <w:rPr>
          <w:color w:val="000000"/>
          <w:sz w:val="27"/>
          <w:szCs w:val="27"/>
        </w:rPr>
        <w:t xml:space="preserve"> prediction began to come true after the UN announcement. The Arabs declared a protest strike and instigated riots that claimed the lives of 62 Jews and 32 Arabs. By the end of the second week, 93 Arabs, 84 Jews and 7 Englishmen had been killed and scores injured. From November 30-February 1, 427 Arabs, 381 Jews and 46 British were killed and 1,035 Arabs, 725 Jews and 135 British were wounded. In March alone, 271 Jews and 257 Arabs died in Arab attacks and Jewish counter</w:t>
      </w:r>
      <w:r>
        <w:rPr>
          <w:color w:val="000000"/>
          <w:sz w:val="27"/>
          <w:szCs w:val="27"/>
        </w:rPr>
        <w:softHyphen/>
        <w:t>attacks.</w:t>
      </w:r>
      <w:r>
        <w:rPr>
          <w:color w:val="000000"/>
          <w:sz w:val="27"/>
          <w:szCs w:val="27"/>
          <w:vertAlign w:val="superscript"/>
        </w:rPr>
        <w:t>2</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The chairman of the Arab Higher Committee said the Arabs would "fight for every inch of their country."</w:t>
      </w:r>
      <w:r>
        <w:rPr>
          <w:color w:val="000000"/>
          <w:sz w:val="27"/>
          <w:szCs w:val="27"/>
          <w:vertAlign w:val="superscript"/>
        </w:rPr>
        <w:t>3</w:t>
      </w:r>
      <w:r>
        <w:rPr>
          <w:rStyle w:val="apple-converted-space"/>
          <w:color w:val="000000"/>
          <w:sz w:val="27"/>
          <w:szCs w:val="27"/>
        </w:rPr>
        <w:t> </w:t>
      </w:r>
      <w:r>
        <w:rPr>
          <w:color w:val="000000"/>
          <w:sz w:val="27"/>
          <w:szCs w:val="27"/>
        </w:rPr>
        <w:t>Two days later, the holy men of Al-</w:t>
      </w:r>
      <w:proofErr w:type="spellStart"/>
      <w:r>
        <w:rPr>
          <w:color w:val="000000"/>
          <w:sz w:val="27"/>
          <w:szCs w:val="27"/>
        </w:rPr>
        <w:t>Azhar</w:t>
      </w:r>
      <w:proofErr w:type="spellEnd"/>
      <w:r>
        <w:rPr>
          <w:color w:val="000000"/>
          <w:sz w:val="27"/>
          <w:szCs w:val="27"/>
        </w:rPr>
        <w:t xml:space="preserve"> University in Cairo called on the Muslim world to proclaim a jihad (holy war) against the Jews.</w:t>
      </w:r>
      <w:r>
        <w:rPr>
          <w:color w:val="000000"/>
          <w:sz w:val="27"/>
          <w:szCs w:val="27"/>
          <w:vertAlign w:val="superscript"/>
        </w:rPr>
        <w:t>4</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The first large-scale assaults began on January 9, 1948, when approximately 1,000 Arabs attacked Jewish communities in northern Palestine. By February, the British said so many Arabs had infiltrated they lacked the forces to run them back.</w:t>
      </w:r>
      <w:r>
        <w:rPr>
          <w:color w:val="000000"/>
          <w:sz w:val="27"/>
          <w:szCs w:val="27"/>
          <w:vertAlign w:val="superscript"/>
        </w:rPr>
        <w:t>5</w:t>
      </w:r>
      <w:r>
        <w:rPr>
          <w:rStyle w:val="apple-converted-space"/>
          <w:color w:val="000000"/>
          <w:sz w:val="27"/>
          <w:szCs w:val="27"/>
        </w:rPr>
        <w:t> </w:t>
      </w:r>
      <w:r>
        <w:rPr>
          <w:color w:val="000000"/>
          <w:sz w:val="27"/>
          <w:szCs w:val="27"/>
        </w:rPr>
        <w:t>In fact, the British turned over bases and arms to Arab irregulars and the Arab Legion.</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In the first phase of the war, lasting from November 29, 1947 until April 1, 1948, the Palestinian Arabs took the offensive, with help from volunteers from neighboring countries. The Jews suffered severe casualties and passage along most of their major roadways was disrupted.</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On April 26, 1948, Transjordan's King Abdullah said:</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[A]</w:t>
      </w:r>
      <w:proofErr w:type="spellStart"/>
      <w:r>
        <w:rPr>
          <w:color w:val="000000"/>
          <w:sz w:val="27"/>
          <w:szCs w:val="27"/>
        </w:rPr>
        <w:t>ll</w:t>
      </w:r>
      <w:proofErr w:type="spellEnd"/>
      <w:r>
        <w:rPr>
          <w:color w:val="000000"/>
          <w:sz w:val="27"/>
          <w:szCs w:val="27"/>
        </w:rPr>
        <w:t xml:space="preserve"> our efforts to find a peaceful solution to the Palestine problem have failed. The only way left for us is war. I will have the pleasure and honor to save Palestine.</w:t>
      </w:r>
      <w:r>
        <w:rPr>
          <w:color w:val="000000"/>
          <w:sz w:val="27"/>
          <w:szCs w:val="27"/>
          <w:vertAlign w:val="superscript"/>
        </w:rPr>
        <w:t>7</w:t>
      </w:r>
    </w:p>
    <w:p w:rsidR="0002534E" w:rsidRDefault="0002534E" w:rsidP="0002534E">
      <w:pPr>
        <w:pStyle w:val="NormalWeb"/>
        <w:shd w:val="clear" w:color="auto" w:fill="FFFFCC"/>
        <w:spacing w:before="0" w:beforeAutospacing="0" w:after="322" w:afterAutospacing="0"/>
        <w:ind w:left="107" w:right="107"/>
        <w:jc w:val="both"/>
        <w:rPr>
          <w:color w:val="000000"/>
          <w:sz w:val="27"/>
          <w:szCs w:val="27"/>
        </w:rPr>
      </w:pPr>
      <w:r>
        <w:rPr>
          <w:color w:val="000000"/>
          <w:sz w:val="27"/>
          <w:szCs w:val="27"/>
        </w:rPr>
        <w:t xml:space="preserve">On May 4, 1948, the Arab Legion attacked </w:t>
      </w:r>
      <w:proofErr w:type="spellStart"/>
      <w:r>
        <w:rPr>
          <w:color w:val="000000"/>
          <w:sz w:val="27"/>
          <w:szCs w:val="27"/>
        </w:rPr>
        <w:t>Kfar</w:t>
      </w:r>
      <w:proofErr w:type="spellEnd"/>
      <w:r>
        <w:rPr>
          <w:color w:val="000000"/>
          <w:sz w:val="27"/>
          <w:szCs w:val="27"/>
        </w:rPr>
        <w:t xml:space="preserve"> </w:t>
      </w:r>
      <w:proofErr w:type="spellStart"/>
      <w:r>
        <w:rPr>
          <w:color w:val="000000"/>
          <w:sz w:val="27"/>
          <w:szCs w:val="27"/>
        </w:rPr>
        <w:t>Etzion</w:t>
      </w:r>
      <w:proofErr w:type="spellEnd"/>
      <w:r>
        <w:rPr>
          <w:color w:val="000000"/>
          <w:sz w:val="27"/>
          <w:szCs w:val="27"/>
        </w:rPr>
        <w:t>. The defenders drove them back, but the Legion returned a week later. After two days, the ill-equipped and outnumbered settlers were overwhelmed. Many defenders were massacred after they had surrendered.</w:t>
      </w:r>
      <w:r>
        <w:rPr>
          <w:color w:val="000000"/>
          <w:sz w:val="27"/>
          <w:szCs w:val="27"/>
          <w:vertAlign w:val="superscript"/>
        </w:rPr>
        <w:t>6</w:t>
      </w:r>
      <w:r>
        <w:rPr>
          <w:rStyle w:val="apple-converted-space"/>
          <w:color w:val="000000"/>
          <w:sz w:val="27"/>
          <w:szCs w:val="27"/>
        </w:rPr>
        <w:t> </w:t>
      </w:r>
      <w:proofErr w:type="gramStart"/>
      <w:r>
        <w:rPr>
          <w:color w:val="000000"/>
          <w:sz w:val="27"/>
          <w:szCs w:val="27"/>
        </w:rPr>
        <w:t>This</w:t>
      </w:r>
      <w:proofErr w:type="gramEnd"/>
      <w:r>
        <w:rPr>
          <w:color w:val="000000"/>
          <w:sz w:val="27"/>
          <w:szCs w:val="27"/>
        </w:rPr>
        <w:t xml:space="preserve"> was prior to the invasion by the regular Arab armies that followed Israel's</w:t>
      </w:r>
      <w:r>
        <w:rPr>
          <w:rStyle w:val="apple-converted-space"/>
          <w:color w:val="000000"/>
          <w:sz w:val="27"/>
          <w:szCs w:val="27"/>
        </w:rPr>
        <w:t> </w:t>
      </w:r>
      <w:hyperlink r:id="rId8" w:history="1">
        <w:r>
          <w:rPr>
            <w:rStyle w:val="Hyperlink"/>
            <w:sz w:val="27"/>
            <w:szCs w:val="27"/>
          </w:rPr>
          <w:t>declaration of independence</w:t>
        </w:r>
      </w:hyperlink>
      <w:r>
        <w:rPr>
          <w:color w:val="000000"/>
          <w:sz w:val="27"/>
          <w:szCs w:val="27"/>
        </w:rPr>
        <w:t>.</w:t>
      </w:r>
    </w:p>
    <w:p w:rsidR="0002534E" w:rsidRPr="0002534E" w:rsidRDefault="0002534E" w:rsidP="0002534E">
      <w:pPr>
        <w:shd w:val="clear" w:color="auto" w:fill="FFFFCC"/>
        <w:spacing w:before="215" w:after="107" w:line="240" w:lineRule="auto"/>
        <w:jc w:val="both"/>
        <w:outlineLvl w:val="2"/>
        <w:rPr>
          <w:rFonts w:ascii="Times New Roman" w:eastAsia="Times New Roman" w:hAnsi="Times New Roman" w:cs="Times New Roman"/>
          <w:b/>
          <w:bCs/>
          <w:color w:val="800000"/>
          <w:sz w:val="24"/>
          <w:szCs w:val="24"/>
        </w:rPr>
      </w:pPr>
      <w:r w:rsidRPr="0002534E">
        <w:rPr>
          <w:rFonts w:ascii="Times New Roman" w:eastAsia="Times New Roman" w:hAnsi="Times New Roman" w:cs="Times New Roman"/>
          <w:b/>
          <w:bCs/>
          <w:color w:val="800000"/>
          <w:sz w:val="24"/>
          <w:szCs w:val="24"/>
        </w:rPr>
        <w:lastRenderedPageBreak/>
        <w:t>Arabs Take Responsibility</w:t>
      </w:r>
    </w:p>
    <w:p w:rsidR="0002534E" w:rsidRPr="0002534E" w:rsidRDefault="0002534E" w:rsidP="0002534E">
      <w:pPr>
        <w:shd w:val="clear" w:color="auto" w:fill="FFFFCC"/>
        <w:spacing w:after="322" w:line="240" w:lineRule="auto"/>
        <w:ind w:left="827" w:right="82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The UN blamed the Arabs for the violence. The UN Palestine Commission was never permitted by the Arabs or British to go to Palestine to implement the resolution. On February 16, 1948, the Commission reported to the</w:t>
      </w:r>
      <w:r w:rsidRPr="0002534E">
        <w:rPr>
          <w:rFonts w:ascii="Times New Roman" w:eastAsia="Times New Roman" w:hAnsi="Times New Roman" w:cs="Times New Roman"/>
          <w:color w:val="000000"/>
          <w:sz w:val="27"/>
        </w:rPr>
        <w:t> </w:t>
      </w:r>
      <w:hyperlink r:id="rId9" w:history="1">
        <w:r w:rsidRPr="0002534E">
          <w:rPr>
            <w:rFonts w:ascii="Times New Roman" w:eastAsia="Times New Roman" w:hAnsi="Times New Roman" w:cs="Times New Roman"/>
            <w:color w:val="0000FF"/>
            <w:sz w:val="27"/>
            <w:u w:val="single"/>
          </w:rPr>
          <w:t>Security Council</w:t>
        </w:r>
      </w:hyperlink>
      <w:r w:rsidRPr="0002534E">
        <w:rPr>
          <w:rFonts w:ascii="Times New Roman" w:eastAsia="Times New Roman" w:hAnsi="Times New Roman" w:cs="Times New Roman"/>
          <w:color w:val="000000"/>
          <w:sz w:val="27"/>
          <w:szCs w:val="27"/>
        </w:rPr>
        <w:t>:</w:t>
      </w:r>
    </w:p>
    <w:p w:rsidR="0002534E" w:rsidRPr="0002534E" w:rsidRDefault="0002534E" w:rsidP="0002534E">
      <w:pPr>
        <w:shd w:val="clear" w:color="auto" w:fill="FFFFCC"/>
        <w:spacing w:after="322" w:line="240" w:lineRule="auto"/>
        <w:ind w:left="1547" w:right="154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Powerful Arab interests, both inside and outside Palestine, are defying the resolution of the General Assembly and are engaged in a deliberate effort to alter by force the settlement envisaged therein.</w:t>
      </w:r>
      <w:r w:rsidRPr="0002534E">
        <w:rPr>
          <w:rFonts w:ascii="Times New Roman" w:eastAsia="Times New Roman" w:hAnsi="Times New Roman" w:cs="Times New Roman"/>
          <w:color w:val="000000"/>
          <w:sz w:val="27"/>
          <w:szCs w:val="27"/>
          <w:vertAlign w:val="superscript"/>
        </w:rPr>
        <w:t>8</w:t>
      </w:r>
    </w:p>
    <w:p w:rsidR="0002534E" w:rsidRPr="0002534E" w:rsidRDefault="0002534E" w:rsidP="0002534E">
      <w:pPr>
        <w:shd w:val="clear" w:color="auto" w:fill="FFFFCC"/>
        <w:spacing w:after="322" w:line="240" w:lineRule="auto"/>
        <w:ind w:left="827" w:right="82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 xml:space="preserve">The Arabs were blunt in taking responsibility for starting the war. Jamal </w:t>
      </w:r>
      <w:proofErr w:type="spellStart"/>
      <w:r w:rsidRPr="0002534E">
        <w:rPr>
          <w:rFonts w:ascii="Times New Roman" w:eastAsia="Times New Roman" w:hAnsi="Times New Roman" w:cs="Times New Roman"/>
          <w:color w:val="000000"/>
          <w:sz w:val="27"/>
          <w:szCs w:val="27"/>
        </w:rPr>
        <w:t>Husseini</w:t>
      </w:r>
      <w:proofErr w:type="spellEnd"/>
      <w:r w:rsidRPr="0002534E">
        <w:rPr>
          <w:rFonts w:ascii="Times New Roman" w:eastAsia="Times New Roman" w:hAnsi="Times New Roman" w:cs="Times New Roman"/>
          <w:color w:val="000000"/>
          <w:sz w:val="27"/>
          <w:szCs w:val="27"/>
        </w:rPr>
        <w:t xml:space="preserve"> told the Security Council on April 16, 1948:</w:t>
      </w:r>
    </w:p>
    <w:p w:rsidR="0002534E" w:rsidRPr="0002534E" w:rsidRDefault="0002534E" w:rsidP="0002534E">
      <w:pPr>
        <w:shd w:val="clear" w:color="auto" w:fill="FFFFCC"/>
        <w:spacing w:after="322" w:line="240" w:lineRule="auto"/>
        <w:ind w:left="1547" w:right="154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The representative of the Jewish Agency told us yesterday that they were not the attackers, that the Arabs had begun the fighting. We did not deny this. We told the whole world that we were going to fight.</w:t>
      </w:r>
      <w:r w:rsidRPr="0002534E">
        <w:rPr>
          <w:rFonts w:ascii="Times New Roman" w:eastAsia="Times New Roman" w:hAnsi="Times New Roman" w:cs="Times New Roman"/>
          <w:color w:val="000000"/>
          <w:sz w:val="27"/>
          <w:szCs w:val="27"/>
          <w:vertAlign w:val="superscript"/>
        </w:rPr>
        <w:t>9</w:t>
      </w:r>
    </w:p>
    <w:p w:rsidR="0002534E" w:rsidRPr="0002534E" w:rsidRDefault="0002534E" w:rsidP="0002534E">
      <w:pPr>
        <w:shd w:val="clear" w:color="auto" w:fill="FFFFCC"/>
        <w:spacing w:after="322" w:line="240" w:lineRule="auto"/>
        <w:ind w:left="827" w:right="82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 xml:space="preserve">The British commander of Jordan's Arab Legion, John </w:t>
      </w:r>
      <w:proofErr w:type="spellStart"/>
      <w:r w:rsidRPr="0002534E">
        <w:rPr>
          <w:rFonts w:ascii="Times New Roman" w:eastAsia="Times New Roman" w:hAnsi="Times New Roman" w:cs="Times New Roman"/>
          <w:color w:val="000000"/>
          <w:sz w:val="27"/>
          <w:szCs w:val="27"/>
        </w:rPr>
        <w:t>Bagot</w:t>
      </w:r>
      <w:proofErr w:type="spellEnd"/>
      <w:r w:rsidRPr="0002534E">
        <w:rPr>
          <w:rFonts w:ascii="Times New Roman" w:eastAsia="Times New Roman" w:hAnsi="Times New Roman" w:cs="Times New Roman"/>
          <w:color w:val="000000"/>
          <w:sz w:val="27"/>
          <w:szCs w:val="27"/>
        </w:rPr>
        <w:t xml:space="preserve"> </w:t>
      </w:r>
      <w:proofErr w:type="spellStart"/>
      <w:r w:rsidRPr="0002534E">
        <w:rPr>
          <w:rFonts w:ascii="Times New Roman" w:eastAsia="Times New Roman" w:hAnsi="Times New Roman" w:cs="Times New Roman"/>
          <w:color w:val="000000"/>
          <w:sz w:val="27"/>
          <w:szCs w:val="27"/>
        </w:rPr>
        <w:t>Glubb</w:t>
      </w:r>
      <w:proofErr w:type="spellEnd"/>
      <w:r w:rsidRPr="0002534E">
        <w:rPr>
          <w:rFonts w:ascii="Times New Roman" w:eastAsia="Times New Roman" w:hAnsi="Times New Roman" w:cs="Times New Roman"/>
          <w:color w:val="000000"/>
          <w:sz w:val="27"/>
          <w:szCs w:val="27"/>
        </w:rPr>
        <w:t xml:space="preserve"> admitted:</w:t>
      </w:r>
    </w:p>
    <w:p w:rsidR="0002534E" w:rsidRPr="0002534E" w:rsidRDefault="0002534E" w:rsidP="0002534E">
      <w:pPr>
        <w:shd w:val="clear" w:color="auto" w:fill="FFFFCC"/>
        <w:spacing w:after="322" w:line="240" w:lineRule="auto"/>
        <w:ind w:left="1547" w:right="154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Early in January, the first detachments of the Arab Liberation Army began to infiltrate into Palestine from Syria. Some came through Jordan and even through Amman . . . They were in reality to strike the first blow in the ruin of the Arabs of Palestine.</w:t>
      </w:r>
      <w:r w:rsidRPr="0002534E">
        <w:rPr>
          <w:rFonts w:ascii="Times New Roman" w:eastAsia="Times New Roman" w:hAnsi="Times New Roman" w:cs="Times New Roman"/>
          <w:color w:val="000000"/>
          <w:sz w:val="27"/>
          <w:szCs w:val="27"/>
          <w:vertAlign w:val="superscript"/>
        </w:rPr>
        <w:t>10</w:t>
      </w:r>
    </w:p>
    <w:p w:rsidR="0002534E" w:rsidRPr="0002534E" w:rsidRDefault="0002534E" w:rsidP="0002534E">
      <w:pPr>
        <w:shd w:val="clear" w:color="auto" w:fill="FFFFCC"/>
        <w:spacing w:after="322" w:line="240" w:lineRule="auto"/>
        <w:ind w:left="827" w:right="82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Despite the disadvantages in numbers, organization and weapons, the Jews began to take the initiative in the weeks from April 1 until the declaration of independence on May 14. The</w:t>
      </w:r>
      <w:r w:rsidRPr="0002534E">
        <w:rPr>
          <w:rFonts w:ascii="Times New Roman" w:eastAsia="Times New Roman" w:hAnsi="Times New Roman" w:cs="Times New Roman"/>
          <w:color w:val="000000"/>
          <w:sz w:val="27"/>
        </w:rPr>
        <w:t> </w:t>
      </w:r>
      <w:proofErr w:type="spellStart"/>
      <w:r w:rsidR="0012251B">
        <w:fldChar w:fldCharType="begin"/>
      </w:r>
      <w:r w:rsidR="0012251B">
        <w:instrText>HYPERLINK "http://www.jewishvirtuallibrary.org/jsource/History/haganah.html"</w:instrText>
      </w:r>
      <w:r w:rsidR="0012251B">
        <w:fldChar w:fldCharType="separate"/>
      </w:r>
      <w:r w:rsidRPr="0002534E">
        <w:rPr>
          <w:rFonts w:ascii="Times New Roman" w:eastAsia="Times New Roman" w:hAnsi="Times New Roman" w:cs="Times New Roman"/>
          <w:color w:val="0000FF"/>
          <w:sz w:val="27"/>
          <w:u w:val="single"/>
        </w:rPr>
        <w:t>Haganah</w:t>
      </w:r>
      <w:proofErr w:type="spellEnd"/>
      <w:r w:rsidR="0012251B">
        <w:fldChar w:fldCharType="end"/>
      </w:r>
      <w:r w:rsidRPr="0002534E">
        <w:rPr>
          <w:rFonts w:ascii="Times New Roman" w:eastAsia="Times New Roman" w:hAnsi="Times New Roman" w:cs="Times New Roman"/>
          <w:color w:val="000000"/>
          <w:sz w:val="27"/>
        </w:rPr>
        <w:t> </w:t>
      </w:r>
      <w:r w:rsidRPr="0002534E">
        <w:rPr>
          <w:rFonts w:ascii="Times New Roman" w:eastAsia="Times New Roman" w:hAnsi="Times New Roman" w:cs="Times New Roman"/>
          <w:color w:val="000000"/>
          <w:sz w:val="27"/>
          <w:szCs w:val="27"/>
        </w:rPr>
        <w:t xml:space="preserve">captured several major towns </w:t>
      </w:r>
      <w:proofErr w:type="spellStart"/>
      <w:r w:rsidRPr="0002534E">
        <w:rPr>
          <w:rFonts w:ascii="Times New Roman" w:eastAsia="Times New Roman" w:hAnsi="Times New Roman" w:cs="Times New Roman"/>
          <w:color w:val="000000"/>
          <w:sz w:val="27"/>
          <w:szCs w:val="27"/>
        </w:rPr>
        <w:t>including</w:t>
      </w:r>
      <w:hyperlink r:id="rId10" w:history="1">
        <w:r w:rsidRPr="0002534E">
          <w:rPr>
            <w:rFonts w:ascii="Times New Roman" w:eastAsia="Times New Roman" w:hAnsi="Times New Roman" w:cs="Times New Roman"/>
            <w:color w:val="0000FF"/>
            <w:sz w:val="27"/>
            <w:u w:val="single"/>
          </w:rPr>
          <w:t>Tiberias</w:t>
        </w:r>
        <w:proofErr w:type="spellEnd"/>
      </w:hyperlink>
      <w:r w:rsidRPr="0002534E">
        <w:rPr>
          <w:rFonts w:ascii="Times New Roman" w:eastAsia="Times New Roman" w:hAnsi="Times New Roman" w:cs="Times New Roman"/>
          <w:color w:val="000000"/>
          <w:sz w:val="27"/>
        </w:rPr>
        <w:t> </w:t>
      </w:r>
      <w:r w:rsidRPr="0002534E">
        <w:rPr>
          <w:rFonts w:ascii="Times New Roman" w:eastAsia="Times New Roman" w:hAnsi="Times New Roman" w:cs="Times New Roman"/>
          <w:color w:val="000000"/>
          <w:sz w:val="27"/>
          <w:szCs w:val="27"/>
        </w:rPr>
        <w:t>and</w:t>
      </w:r>
      <w:r w:rsidRPr="0002534E">
        <w:rPr>
          <w:rFonts w:ascii="Times New Roman" w:eastAsia="Times New Roman" w:hAnsi="Times New Roman" w:cs="Times New Roman"/>
          <w:color w:val="000000"/>
          <w:sz w:val="27"/>
        </w:rPr>
        <w:t> </w:t>
      </w:r>
      <w:hyperlink r:id="rId11" w:history="1">
        <w:r w:rsidRPr="0002534E">
          <w:rPr>
            <w:rFonts w:ascii="Times New Roman" w:eastAsia="Times New Roman" w:hAnsi="Times New Roman" w:cs="Times New Roman"/>
            <w:color w:val="0000FF"/>
            <w:sz w:val="27"/>
            <w:u w:val="single"/>
          </w:rPr>
          <w:t>Haifa</w:t>
        </w:r>
      </w:hyperlink>
      <w:r w:rsidRPr="0002534E">
        <w:rPr>
          <w:rFonts w:ascii="Times New Roman" w:eastAsia="Times New Roman" w:hAnsi="Times New Roman" w:cs="Times New Roman"/>
          <w:color w:val="000000"/>
          <w:sz w:val="27"/>
          <w:szCs w:val="27"/>
        </w:rPr>
        <w:t>, and temporarily opened the road to Jerusalem.</w:t>
      </w:r>
    </w:p>
    <w:p w:rsidR="0002534E" w:rsidRPr="0002534E" w:rsidRDefault="0002534E" w:rsidP="0002534E">
      <w:pPr>
        <w:shd w:val="clear" w:color="auto" w:fill="FFFFCC"/>
        <w:spacing w:after="322" w:line="240" w:lineRule="auto"/>
        <w:ind w:left="827" w:right="827"/>
        <w:jc w:val="both"/>
        <w:rPr>
          <w:rFonts w:ascii="Times New Roman" w:eastAsia="Times New Roman" w:hAnsi="Times New Roman" w:cs="Times New Roman"/>
          <w:color w:val="000000"/>
          <w:sz w:val="27"/>
          <w:szCs w:val="27"/>
        </w:rPr>
      </w:pPr>
      <w:r w:rsidRPr="0002534E">
        <w:rPr>
          <w:rFonts w:ascii="Times New Roman" w:eastAsia="Times New Roman" w:hAnsi="Times New Roman" w:cs="Times New Roman"/>
          <w:color w:val="000000"/>
          <w:sz w:val="27"/>
          <w:szCs w:val="27"/>
        </w:rPr>
        <w:t xml:space="preserve">The partition resolution was never suspended or rescinded. Thus, Israel, the Jewish State in Palestine, was born on May 14, as the British finally left the country. Five Arab armies (Egypt, Syria, Transjordan, Lebanon and Iraq) immediately invaded Israel. Their intentions were declared by </w:t>
      </w:r>
      <w:proofErr w:type="spellStart"/>
      <w:r w:rsidRPr="0002534E">
        <w:rPr>
          <w:rFonts w:ascii="Times New Roman" w:eastAsia="Times New Roman" w:hAnsi="Times New Roman" w:cs="Times New Roman"/>
          <w:color w:val="000000"/>
          <w:sz w:val="27"/>
          <w:szCs w:val="27"/>
        </w:rPr>
        <w:t>Azzam</w:t>
      </w:r>
      <w:proofErr w:type="spellEnd"/>
      <w:r w:rsidRPr="0002534E">
        <w:rPr>
          <w:rFonts w:ascii="Times New Roman" w:eastAsia="Times New Roman" w:hAnsi="Times New Roman" w:cs="Times New Roman"/>
          <w:color w:val="000000"/>
          <w:sz w:val="27"/>
          <w:szCs w:val="27"/>
        </w:rPr>
        <w:t xml:space="preserve"> Pasha, Secretary-General of the Arab League: "It will be a war of annihilation. </w:t>
      </w:r>
    </w:p>
    <w:p w:rsidR="0002534E" w:rsidRPr="0002534E" w:rsidRDefault="0012251B" w:rsidP="0002534E">
      <w:r>
        <w:rPr>
          <w:noProof/>
        </w:rPr>
        <w:lastRenderedPageBreak/>
        <w:pict>
          <v:shape id="Text Box 3" o:spid="_x0000_s1027" type="#_x0000_t202" style="position:absolute;margin-left:168.3pt;margin-top:-49.45pt;width:323.9pt;height:488.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">
            <v:textbox>
              <w:txbxContent>
                <w:p w:rsidR="0002534E" w:rsidRDefault="00BF00A4">
                  <w:pPr>
                    <w:rPr>
                      <w:noProof/>
                    </w:rPr>
                  </w:pPr>
                  <w:r>
                    <w:rPr>
                      <w:noProof/>
                    </w:rPr>
                    <w:t>2</w:t>
                  </w:r>
                  <w:r w:rsidRPr="00BF00A4">
                    <w:rPr>
                      <w:noProof/>
                      <w:vertAlign w:val="superscript"/>
                    </w:rPr>
                    <w:t>nd</w:t>
                  </w:r>
                  <w:r>
                    <w:rPr>
                      <w:noProof/>
                    </w:rPr>
                    <w:t xml:space="preserve"> Map</w:t>
                  </w:r>
                </w:p>
                <w:p w:rsidR="00BF00A4" w:rsidRDefault="00BF00A4">
                  <w:bookmarkStart w:id="0" w:name="_GoBack"/>
                  <w:r w:rsidRPr="00BF00A4">
                    <w:rPr>
                      <w:noProof/>
                    </w:rPr>
                    <w:drawing>
                      <wp:inline distT="0" distB="0" distL="0" distR="0">
                        <wp:extent cx="3856914" cy="5793072"/>
                        <wp:effectExtent l="19050" t="0" r="0" b="0"/>
                        <wp:docPr id="9" name="Picture 4" descr="http://www.jewishvirtuallibrary.org/jsource/images/maps/04map_pg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jewishvirtuallibrary.org/jsource/images/maps/04map_pg64.gif"/>
                                <pic:cNvPicPr>
                                  <a:picLocks noChangeAspect="1" noChangeArrowheads="1"/>
                                </pic:cNvPicPr>
                              </pic:nvPicPr>
                              <pic:blipFill>
                                <a:blip r:embed="rId12"/>
                                <a:srcRect/>
                                <a:stretch>
                                  <a:fillRect/>
                                </a:stretch>
                              </pic:blipFill>
                              <pic:spPr bwMode="auto">
                                <a:xfrm>
                                  <a:off x="0" y="0"/>
                                  <a:ext cx="3855409" cy="5790812"/>
                                </a:xfrm>
                                <a:prstGeom prst="rect">
                                  <a:avLst/>
                                </a:prstGeom>
                                <a:noFill/>
                                <a:ln w="9525">
                                  <a:noFill/>
                                  <a:miter lim="800000"/>
                                  <a:headEnd/>
                                  <a:tailEnd/>
                                </a:ln>
                              </pic:spPr>
                            </pic:pic>
                          </a:graphicData>
                        </a:graphic>
                      </wp:inline>
                    </w:drawing>
                  </w:r>
                  <w:bookmarkEnd w:id="0"/>
                </w:p>
              </w:txbxContent>
            </v:textbox>
          </v:shape>
        </w:pict>
      </w:r>
      <w:r>
        <w:rPr>
          <w:noProof/>
        </w:rPr>
        <w:pict>
          <v:shape id="Text Box 4" o:spid="_x0000_s1028" type="#_x0000_t202" style="position:absolute;margin-left:-37.6pt;margin-top:-49.45pt;width:178.4pt;height:3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">
            <v:textbox>
              <w:txbxContent>
                <w:p w:rsidR="00BF00A4" w:rsidRDefault="00BF00A4">
                  <w:r>
                    <w:t>1</w:t>
                  </w:r>
                  <w:r w:rsidRPr="00BF00A4">
                    <w:rPr>
                      <w:vertAlign w:val="superscript"/>
                    </w:rPr>
                    <w:t>st</w:t>
                  </w:r>
                  <w:r>
                    <w:t xml:space="preserve"> Map</w:t>
                  </w:r>
                </w:p>
                <w:p w:rsidR="00BF00A4" w:rsidRDefault="00BF00A4">
                  <w:r w:rsidRPr="00BF00A4">
                    <w:rPr>
                      <w:noProof/>
                    </w:rPr>
                    <w:drawing>
                      <wp:inline distT="0" distB="0" distL="0" distR="0">
                        <wp:extent cx="1973523" cy="4605590"/>
                        <wp:effectExtent l="19050" t="0" r="7677" b="0"/>
                        <wp:docPr id="8" name="Picture 6" descr="http://2.bp.blogspot.com/-wnIRh1dCtEg/UutdYf5iZcI/AAAAAAAByjU/_VlK7Oubb7k/s1600/article-2548557-1B16961600000578-881_634x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wnIRh1dCtEg/UutdYf5iZcI/AAAAAAAByjU/_VlK7Oubb7k/s1600/article-2548557-1B16961600000578-881_634x345.jpg"/>
                                <pic:cNvPicPr>
                                  <a:picLocks noChangeAspect="1" noChangeArrowheads="1"/>
                                </pic:cNvPicPr>
                              </pic:nvPicPr>
                              <pic:blipFill>
                                <a:blip r:embed="rId13"/>
                                <a:srcRect r="76686"/>
                                <a:stretch>
                                  <a:fillRect/>
                                </a:stretch>
                              </pic:blipFill>
                              <pic:spPr bwMode="auto">
                                <a:xfrm>
                                  <a:off x="0" y="0"/>
                                  <a:ext cx="1978930" cy="4618207"/>
                                </a:xfrm>
                                <a:prstGeom prst="rect">
                                  <a:avLst/>
                                </a:prstGeom>
                                <a:noFill/>
                                <a:ln w="9525">
                                  <a:noFill/>
                                  <a:miter lim="800000"/>
                                  <a:headEnd/>
                                  <a:tailEnd/>
                                </a:ln>
                              </pic:spPr>
                            </pic:pic>
                          </a:graphicData>
                        </a:graphic>
                      </wp:inline>
                    </w:drawing>
                  </w:r>
                </w:p>
              </w:txbxContent>
            </v:textbox>
          </v:shape>
        </w:pict>
      </w:r>
    </w:p>
    <w:p w:rsidR="0002534E" w:rsidRPr="0002534E" w:rsidRDefault="0002534E" w:rsidP="0002534E"/>
    <w:p w:rsidR="0002534E" w:rsidRPr="0002534E" w:rsidRDefault="0002534E" w:rsidP="0002534E"/>
    <w:p w:rsidR="0002534E" w:rsidRPr="0002534E" w:rsidRDefault="0002534E" w:rsidP="0002534E"/>
    <w:p w:rsidR="0002534E" w:rsidRDefault="0002534E" w:rsidP="0002534E"/>
    <w:p w:rsidR="004D1EA0" w:rsidRDefault="004D1EA0"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02534E" w:rsidP="0002534E">
      <w:pPr>
        <w:jc w:val="center"/>
      </w:pPr>
    </w:p>
    <w:p w:rsidR="0002534E" w:rsidRDefault="0012251B" w:rsidP="0002534E">
      <w:pPr>
        <w:jc w:val="center"/>
      </w:pPr>
      <w:r>
        <w:rPr>
          <w:noProof/>
        </w:rPr>
        <w:pict>
          <v:shape id="Text Box 5" o:spid="_x0000_s1029" type="#_x0000_t202" style="position:absolute;left:0;text-align:left;margin-left:-52.2pt;margin-top:5.8pt;width:210.15pt;height:321.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">
            <v:textbox>
              <w:txbxContent>
                <w:p w:rsidR="00BF00A4" w:rsidRDefault="00BF00A4">
                  <w:r>
                    <w:t>3</w:t>
                  </w:r>
                  <w:r w:rsidRPr="00BF00A4">
                    <w:rPr>
                      <w:vertAlign w:val="superscript"/>
                    </w:rPr>
                    <w:t>rd</w:t>
                  </w:r>
                  <w:r>
                    <w:t xml:space="preserve"> Map</w:t>
                  </w:r>
                </w:p>
                <w:p w:rsidR="00BF00A4" w:rsidRDefault="00BF00A4">
                  <w:r w:rsidRPr="00BF00A4">
                    <w:rPr>
                      <w:noProof/>
                    </w:rPr>
                    <w:drawing>
                      <wp:inline distT="0" distB="0" distL="0" distR="0">
                        <wp:extent cx="2437547" cy="4395003"/>
                        <wp:effectExtent l="19050" t="0" r="853" b="0"/>
                        <wp:docPr id="10" name="Picture 6" descr="http://2.bp.blogspot.com/-wnIRh1dCtEg/UutdYf5iZcI/AAAAAAAByjU/_VlK7Oubb7k/s1600/article-2548557-1B16961600000578-881_634x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wnIRh1dCtEg/UutdYf5iZcI/AAAAAAAByjU/_VlK7Oubb7k/s1600/article-2548557-1B16961600000578-881_634x345.jpg"/>
                                <pic:cNvPicPr>
                                  <a:picLocks noChangeAspect="1" noChangeArrowheads="1"/>
                                </pic:cNvPicPr>
                              </pic:nvPicPr>
                              <pic:blipFill>
                                <a:blip r:embed="rId13"/>
                                <a:srcRect l="22448" t="21941" r="53959"/>
                                <a:stretch>
                                  <a:fillRect/>
                                </a:stretch>
                              </pic:blipFill>
                              <pic:spPr bwMode="auto">
                                <a:xfrm>
                                  <a:off x="0" y="0"/>
                                  <a:ext cx="2437546" cy="4395001"/>
                                </a:xfrm>
                                <a:prstGeom prst="rect">
                                  <a:avLst/>
                                </a:prstGeom>
                                <a:noFill/>
                                <a:ln w="9525">
                                  <a:noFill/>
                                  <a:miter lim="800000"/>
                                  <a:headEnd/>
                                  <a:tailEnd/>
                                </a:ln>
                              </pic:spPr>
                            </pic:pic>
                          </a:graphicData>
                        </a:graphic>
                      </wp:inline>
                    </w:drawing>
                  </w:r>
                </w:p>
              </w:txbxContent>
            </v:textbox>
          </v:shape>
        </w:pict>
      </w:r>
    </w:p>
    <w:p w:rsidR="0002534E" w:rsidRDefault="0002534E" w:rsidP="0002534E">
      <w:pPr>
        <w:jc w:val="center"/>
      </w:pPr>
    </w:p>
    <w:p w:rsidR="0002534E" w:rsidRDefault="0002534E" w:rsidP="0002534E">
      <w:pPr>
        <w:jc w:val="center"/>
      </w:pPr>
    </w:p>
    <w:p w:rsidR="0002534E" w:rsidRDefault="00550574" w:rsidP="0002534E">
      <w:pPr>
        <w:jc w:val="center"/>
      </w:pPr>
      <w:r>
        <w:rPr>
          <w:noProof/>
        </w:rPr>
        <w:pict>
          <v:shape id="Text Box 8" o:spid="_x0000_s1030" type="#_x0000_t202" style="position:absolute;left:0;text-align:left;margin-left:183.75pt;margin-top:7pt;width:267.8pt;height:265.35pt;z-index:2516705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">
            <v:textbox>
              <w:txbxContent>
                <w:p w:rsidR="00BF00A4" w:rsidRDefault="00BF00A4">
                  <w:r>
                    <w:t>4</w:t>
                  </w:r>
                  <w:r w:rsidRPr="00BF00A4">
                    <w:rPr>
                      <w:vertAlign w:val="superscript"/>
                    </w:rPr>
                    <w:t>th</w:t>
                  </w:r>
                  <w:r>
                    <w:t xml:space="preserve"> Map</w:t>
                  </w:r>
                </w:p>
                <w:p w:rsidR="00BF00A4" w:rsidRDefault="00BF00A4">
                  <w:r w:rsidRPr="00BF00A4">
                    <w:rPr>
                      <w:noProof/>
                    </w:rPr>
                    <w:drawing>
                      <wp:inline distT="0" distB="0" distL="0" distR="0">
                        <wp:extent cx="3276600" cy="3238500"/>
                        <wp:effectExtent l="19050" t="0" r="0" b="0"/>
                        <wp:docPr id="17" name="Picture 6" descr="http://2.bp.blogspot.com/-wnIRh1dCtEg/UutdYf5iZcI/AAAAAAAByjU/_VlK7Oubb7k/s1600/article-2548557-1B16961600000578-881_634x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wnIRh1dCtEg/UutdYf5iZcI/AAAAAAAByjU/_VlK7Oubb7k/s1600/article-2548557-1B16961600000578-881_634x345.jpg"/>
                                <pic:cNvPicPr>
                                  <a:picLocks noChangeAspect="1" noChangeArrowheads="1"/>
                                </pic:cNvPicPr>
                              </pic:nvPicPr>
                              <pic:blipFill>
                                <a:blip r:embed="rId13"/>
                                <a:srcRect l="44872"/>
                                <a:stretch>
                                  <a:fillRect/>
                                </a:stretch>
                              </pic:blipFill>
                              <pic:spPr bwMode="auto">
                                <a:xfrm>
                                  <a:off x="0" y="0"/>
                                  <a:ext cx="3276600" cy="3238500"/>
                                </a:xfrm>
                                <a:prstGeom prst="rect">
                                  <a:avLst/>
                                </a:prstGeom>
                                <a:noFill/>
                                <a:ln w="9525">
                                  <a:noFill/>
                                  <a:miter lim="800000"/>
                                  <a:headEnd/>
                                  <a:tailEnd/>
                                </a:ln>
                              </pic:spPr>
                            </pic:pic>
                          </a:graphicData>
                        </a:graphic>
                      </wp:inline>
                    </w:drawing>
                  </w:r>
                </w:p>
              </w:txbxContent>
            </v:textbox>
          </v:shape>
        </w:pict>
      </w: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550574"/>
    <w:p w:rsidR="00BF00A4" w:rsidRDefault="00BF00A4" w:rsidP="0002534E">
      <w:pPr>
        <w:jc w:val="center"/>
      </w:pPr>
    </w:p>
    <w:p w:rsidR="00BF00A4" w:rsidRDefault="00BF00A4" w:rsidP="0002534E">
      <w:pPr>
        <w:jc w:val="center"/>
      </w:pPr>
    </w:p>
    <w:p w:rsidR="00BF00A4" w:rsidRDefault="0012251B" w:rsidP="00BF00A4">
      <w:r>
        <w:rPr>
          <w:noProof/>
        </w:rPr>
        <w:pict>
          <v:shape id="Text Box 6" o:spid="_x0000_s1031" type="#_x0000_t202" style="position:absolute;margin-left:-47.15pt;margin-top:-59.2pt;width:297.9pt;height:9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">
            <v:textbox>
              <w:txbxContent>
                <w:p w:rsidR="00BF00A4" w:rsidRDefault="00BF00A4">
                  <w:r>
                    <w:t>Source</w:t>
                  </w:r>
                </w:p>
                <w:p w:rsidR="00BF00A4" w:rsidRDefault="00BF00A4">
                  <w:r w:rsidRPr="00BF00A4">
                    <w:rPr>
                      <w:noProof/>
                    </w:rPr>
                    <w:drawing>
                      <wp:inline distT="0" distB="0" distL="0" distR="0">
                        <wp:extent cx="3531476" cy="788275"/>
                        <wp:effectExtent l="1905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l="17205" r="23314" b="76402"/>
                                <a:stretch>
                                  <a:fillRect/>
                                </a:stretch>
                              </pic:blipFill>
                              <pic:spPr bwMode="auto">
                                <a:xfrm>
                                  <a:off x="0" y="0"/>
                                  <a:ext cx="3531476" cy="788275"/>
                                </a:xfrm>
                                <a:prstGeom prst="rect">
                                  <a:avLst/>
                                </a:prstGeom>
                                <a:noFill/>
                                <a:ln w="9525">
                                  <a:noFill/>
                                  <a:miter lim="800000"/>
                                  <a:headEnd/>
                                  <a:tailEnd/>
                                </a:ln>
                              </pic:spPr>
                            </pic:pic>
                          </a:graphicData>
                        </a:graphic>
                      </wp:inline>
                    </w:drawing>
                  </w:r>
                </w:p>
              </w:txbxContent>
            </v:textbox>
          </v:shape>
        </w:pict>
      </w:r>
    </w:p>
    <w:p w:rsidR="00BF00A4" w:rsidRDefault="00BF00A4" w:rsidP="0002534E">
      <w:pPr>
        <w:jc w:val="center"/>
      </w:pPr>
    </w:p>
    <w:p w:rsidR="00BF00A4" w:rsidRPr="00BF00A4" w:rsidRDefault="00BF00A4" w:rsidP="00BF00A4">
      <w:r w:rsidRPr="00BF00A4">
        <w:rPr>
          <w:b/>
          <w:bCs/>
        </w:rPr>
        <w:t>The Prewar Crisis</w:t>
      </w:r>
    </w:p>
    <w:p w:rsidR="00BF00A4" w:rsidRPr="00BF00A4" w:rsidRDefault="00BF00A4" w:rsidP="00BF00A4">
      <w:r w:rsidRPr="00BF00A4">
        <w:t xml:space="preserve">On May 13, 1967, Soviet officials informed the Syrian and Egyptian Governments that Israel had massed troops on Syria’s border. Though the report was false, Nasser sent large numbers of Egyptian soldiers into the Sinai anyway. On May 16, Egypt demanded that the United Nations Emergency Force (UNEF), which had been deployed in the Sinai Peninsula and the Gaza Strip since 1957, withdraw from Israel’s border. Secretary-General U Thant replied that he would have to withdraw UNEF from all its positions, including </w:t>
      </w:r>
      <w:proofErr w:type="spellStart"/>
      <w:r w:rsidRPr="00BF00A4">
        <w:t>Sharm</w:t>
      </w:r>
      <w:proofErr w:type="spellEnd"/>
      <w:r w:rsidRPr="00BF00A4">
        <w:t xml:space="preserve"> al-</w:t>
      </w:r>
      <w:proofErr w:type="spellStart"/>
      <w:r w:rsidRPr="00BF00A4">
        <w:t>Shaykh</w:t>
      </w:r>
      <w:proofErr w:type="spellEnd"/>
      <w:r w:rsidRPr="00BF00A4">
        <w:t>, which would put political pressure on Nasser to close the Straits of Tiran to Israeli shipping. Nasser remained adamant, and on May 22, after UNEF withdrew, he announced that he would close the Straits. In 1957, President Dwight D. Eisenhower had promised that the United States would treat the closure of the Straits as an act of war. Johnson now had three unwelcome options: to renege on Eisenhower’s promise, acquiesce in an Israeli attack on Egypt, or order U.S. forces to reopen the waterway.</w:t>
      </w:r>
    </w:p>
    <w:p w:rsidR="00BF00A4" w:rsidRPr="00BF00A4" w:rsidRDefault="00BF00A4" w:rsidP="00BF00A4">
      <w:r w:rsidRPr="00BF00A4">
        <w:t xml:space="preserve">Instead, the President played for time. He sought international and Congressional support for Operation Red Sea Regatta, which called for a coalition of maritime nations to send a “probing force” through the Straits if Egypt refused to grant all nations free passage through them. Simultaneously, Johnson implored the Soviets to intercede with Nasser and urged Israeli restraint. “Israel,” Johnson told Israeli Foreign Minister Abba </w:t>
      </w:r>
      <w:proofErr w:type="spellStart"/>
      <w:r w:rsidRPr="00BF00A4">
        <w:t>Eban</w:t>
      </w:r>
      <w:proofErr w:type="spellEnd"/>
      <w:r w:rsidRPr="00BF00A4">
        <w:t xml:space="preserve"> on May 26, “will not be alone unless it decides to go it alone.” Yet over the following week, the administration failed to gain domestic or foreign backing for “Regatta.” Meanwhile, Jordan joined the Arab coalition, heightening the pressure for an Israeli strike. Though Johnson continued to caution Israel against preemption, a number of the President’s advisors had concluded that U.S. interests would be best served by Israel “going it alone” by the time the Israelis actually did so.</w:t>
      </w:r>
    </w:p>
    <w:p w:rsidR="00BF00A4" w:rsidRPr="00BF00A4" w:rsidRDefault="00BF00A4" w:rsidP="00BF00A4">
      <w:r w:rsidRPr="00BF00A4">
        <w:rPr>
          <w:b/>
          <w:bCs/>
        </w:rPr>
        <w:t>The War and its Aftermath</w:t>
      </w:r>
    </w:p>
    <w:p w:rsidR="00BF00A4" w:rsidRPr="00BF00A4" w:rsidRDefault="00BF00A4" w:rsidP="00BF00A4">
      <w:r w:rsidRPr="00BF00A4">
        <w:t>Between June 5 and June 10, Israel defeated Egypt, Jordan, and Syria and occupied the Sinai Peninsula, the Gaza Strip, the West Bank, East Jerusalem, and the Golan Heights. From the beginning, the United States sought a ceasefire in order to prevent an Arab defeat bad enough to force the Soviet Union to intervene. U.S. officials were also concerned about alienating pro-Western Arab regimes, especially after Egypt and several other Arab states accused the United States of helping Israel and broke diplomatic relations. Yet after June 5, the administration did not also demand an immediate Israeli pullback from the territories it had occupied. U.S. officials believed that in light of the tenuous nature of the prewar armistice regime, they should not force Israel to withdraw unless peace settlements were put into place.</w:t>
      </w:r>
    </w:p>
    <w:p w:rsidR="00BF00A4" w:rsidRPr="00BF00A4" w:rsidRDefault="00BF00A4" w:rsidP="00BF00A4">
      <w:r w:rsidRPr="00BF00A4">
        <w:t xml:space="preserve">The administration’s concept of “land-for-peace” solidified following the war. “Certainly,” Johnson proclaimed, “troops must be withdrawn; but there must also be recognized rights of national life, progress in solving the refugee problem, freedom of innocent maritime passage, limitation of the arms </w:t>
      </w:r>
      <w:r w:rsidRPr="00BF00A4">
        <w:lastRenderedPageBreak/>
        <w:t>race, and respect for political independence and territorial integrity.” Yet after the Arab states rejected a Latin American UN resolution calling for full withdrawal in exchange for recognition of “the right of all states in the area to live in peace and security” and a similar U.S.-Soviet draft, the Johnson administration scaled back its efforts to promote a settlement. Though alarmed by Israeli decisions to absorb East Jerusalem and establish Jewish settlements in the occupied territories, U.S. officials believed that the Arabs remained too inflexible to justify pressing Israel to withdraw.</w:t>
      </w:r>
    </w:p>
    <w:p w:rsidR="00BF00A4" w:rsidRPr="00BF00A4" w:rsidRDefault="00BF00A4" w:rsidP="00BF00A4">
      <w:r w:rsidRPr="00BF00A4">
        <w:t xml:space="preserve">The Johnson administration did not re-enter the diplomatic fray until October, when the Soviets began to circulate a new version of the resolution that they had promoted that summer. Knowing that Israel would reject the Soviet draft, the administration encouraged the United Kingdom to introduce an alternative resolution devised by UN Ambassador Arthur Goldberg. Security Council Resolution 242, adopted on November 22, called for Israel’s withdrawal from “territories occupied in the recent conflict” in exchange for “termination of all claims or states of belligerency and respect for </w:t>
      </w:r>
      <w:proofErr w:type="spellStart"/>
      <w:r w:rsidRPr="00BF00A4">
        <w:t>and</w:t>
      </w:r>
      <w:proofErr w:type="spellEnd"/>
      <w:r w:rsidRPr="00BF00A4">
        <w:t xml:space="preserve"> acknowledgment of the sovereignty, territorial integrity and political independence of every State in the area and their right to live in peace within secure and recognized boundaries free from threats or acts of force.” Interpreted differently by Israelis and Arabs, this resolution would nonetheless remain the bedrock of all subsequent U.S. efforts to resolve the Arab-Israeli dispute.</w:t>
      </w:r>
    </w:p>
    <w:p w:rsidR="00BF00A4" w:rsidRDefault="00BF00A4" w:rsidP="00BF00A4"/>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9B6C73" w:rsidRDefault="0012251B" w:rsidP="00BF00A4">
      <w:r>
        <w:rPr>
          <w:noProof/>
        </w:rPr>
        <w:pict>
          <v:shape id="Text Box 9" o:spid="_x0000_s1032" type="#_x0000_t202" style="position:absolute;margin-left:-35pt;margin-top:-60.3pt;width:527.3pt;height:65.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">
            <v:textbox>
              <w:txbxContent>
                <w:p w:rsidR="00BF00A4" w:rsidRDefault="00BF00A4">
                  <w:r>
                    <w:t>Source</w:t>
                  </w:r>
                </w:p>
                <w:p w:rsidR="00BF00A4" w:rsidRDefault="00BF00A4">
                  <w:r w:rsidRPr="00BF00A4">
                    <w:rPr>
                      <w:noProof/>
                    </w:rPr>
                    <w:drawing>
                      <wp:inline distT="0" distB="0" distL="0" distR="0">
                        <wp:extent cx="3711708" cy="659218"/>
                        <wp:effectExtent l="19050" t="0" r="3042" b="0"/>
                        <wp:docPr id="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a:srcRect t="8280" r="37553" b="71975"/>
                                <a:stretch>
                                  <a:fillRect/>
                                </a:stretch>
                              </pic:blipFill>
                              <pic:spPr bwMode="auto">
                                <a:xfrm>
                                  <a:off x="0" y="0"/>
                                  <a:ext cx="3711708" cy="659218"/>
                                </a:xfrm>
                                <a:prstGeom prst="rect">
                                  <a:avLst/>
                                </a:prstGeom>
                                <a:noFill/>
                                <a:ln w="9525">
                                  <a:noFill/>
                                  <a:miter lim="800000"/>
                                  <a:headEnd/>
                                  <a:tailEnd/>
                                </a:ln>
                              </pic:spPr>
                            </pic:pic>
                          </a:graphicData>
                        </a:graphic>
                      </wp:inline>
                    </w:drawing>
                  </w:r>
                </w:p>
              </w:txbxContent>
            </v:textbox>
          </v:shape>
        </w:pict>
      </w:r>
      <w:r w:rsidR="00BF00A4" w:rsidRPr="00BF00A4">
        <w:br/>
        <w:t>More than 40 years after Israel defeated the combined armies of Jordan, Syria and Egypt in the 1967 war, some Middle East analysts argue that the conflict has helped to fuel the rise of Islamist ideologies.</w:t>
      </w:r>
    </w:p>
    <w:p w:rsidR="00BF00A4" w:rsidRPr="00BF00A4" w:rsidRDefault="00BF00A4" w:rsidP="00BF00A4">
      <w:r w:rsidRPr="00BF00A4">
        <w:br/>
        <w:t>Prior to the war, Arab nations such as Egypt, Iraq and Yemen overthrew monarchies and established military-backed socialist governments.</w:t>
      </w:r>
    </w:p>
    <w:p w:rsidR="00BF00A4" w:rsidRPr="00BF00A4" w:rsidRDefault="00BF00A4" w:rsidP="00BF00A4">
      <w:r w:rsidRPr="00BF00A4">
        <w:t>Arab nationalism and unity were touted as the ideological instruments to liberate occupied Palestinian lands and guide Arabs towards modernity.</w:t>
      </w:r>
    </w:p>
    <w:p w:rsidR="00BF00A4" w:rsidRPr="00BF00A4" w:rsidRDefault="00BF00A4" w:rsidP="00BF00A4">
      <w:r w:rsidRPr="00BF00A4">
        <w:t>But the speed of Israel's victory shocked the Arab world and shattered the idea of Arab military might, as well as the region's military governments.</w:t>
      </w:r>
    </w:p>
    <w:p w:rsidR="00BF00A4" w:rsidRPr="00BF00A4" w:rsidRDefault="00BF00A4" w:rsidP="00BF00A4">
      <w:r w:rsidRPr="00BF00A4">
        <w:t xml:space="preserve">Huda </w:t>
      </w:r>
      <w:proofErr w:type="spellStart"/>
      <w:r w:rsidRPr="00BF00A4">
        <w:t>Awad</w:t>
      </w:r>
      <w:proofErr w:type="spellEnd"/>
      <w:r w:rsidRPr="00BF00A4">
        <w:t xml:space="preserve">, a member of the Egyptian Council for Foreign affairs, told Al </w:t>
      </w:r>
      <w:proofErr w:type="spellStart"/>
      <w:r w:rsidRPr="00BF00A4">
        <w:t>Jazeera</w:t>
      </w:r>
      <w:proofErr w:type="spellEnd"/>
      <w:proofErr w:type="gramStart"/>
      <w:r w:rsidRPr="00BF00A4">
        <w:t>: "</w:t>
      </w:r>
      <w:proofErr w:type="gramEnd"/>
    </w:p>
    <w:p w:rsidR="00BF00A4" w:rsidRPr="00BF00A4" w:rsidRDefault="00BF00A4" w:rsidP="00BF00A4">
      <w:r w:rsidRPr="00BF00A4">
        <w:t>What happened in 1967 shook the military prestige in the Arab world."</w:t>
      </w:r>
    </w:p>
    <w:p w:rsidR="00BF00A4" w:rsidRPr="00BF00A4" w:rsidRDefault="00BF00A4" w:rsidP="00BF00A4">
      <w:r w:rsidRPr="00BF00A4">
        <w:t>"The cradle of authoritarianism was rocked and that repealed its legitimacy."</w:t>
      </w:r>
    </w:p>
    <w:p w:rsidR="00BF00A4" w:rsidRPr="00BF00A4" w:rsidRDefault="00BF00A4" w:rsidP="00BF00A4">
      <w:r w:rsidRPr="00BF00A4">
        <w:rPr>
          <w:b/>
          <w:bCs/>
        </w:rPr>
        <w:t>Nationalism defeated</w:t>
      </w:r>
    </w:p>
    <w:p w:rsidR="00BF00A4" w:rsidRPr="00BF00A4" w:rsidRDefault="00BF00A4" w:rsidP="00BF00A4">
      <w:proofErr w:type="spellStart"/>
      <w:r w:rsidRPr="00BF00A4">
        <w:t>Amr</w:t>
      </w:r>
      <w:proofErr w:type="spellEnd"/>
      <w:r w:rsidRPr="00BF00A4">
        <w:t xml:space="preserve"> Al </w:t>
      </w:r>
      <w:proofErr w:type="spellStart"/>
      <w:r w:rsidRPr="00BF00A4">
        <w:t>Shobaky</w:t>
      </w:r>
      <w:proofErr w:type="spellEnd"/>
      <w:r w:rsidRPr="00BF00A4">
        <w:t>, an Egyptian political analyst and columnist believes that such a "devastating defeat" effectively ended the dream of Arab nationalism.</w:t>
      </w:r>
    </w:p>
    <w:tbl>
      <w:tblPr>
        <w:tblpPr w:leftFromText="45" w:rightFromText="45" w:vertAnchor="text" w:tblpXSpec="right" w:tblpYSpec="center"/>
        <w:tblW w:w="1800" w:type="dxa"/>
        <w:shd w:val="clear" w:color="auto" w:fill="FFFFFF"/>
        <w:tblCellMar>
          <w:left w:w="0" w:type="dxa"/>
          <w:right w:w="0" w:type="dxa"/>
        </w:tblCellMar>
        <w:tblLook w:val="04A0"/>
      </w:tblPr>
      <w:tblGrid>
        <w:gridCol w:w="1800"/>
      </w:tblGrid>
      <w:tr w:rsidR="00BF00A4" w:rsidRPr="00BF00A4" w:rsidTr="00BF00A4">
        <w:tc>
          <w:tcPr>
            <w:tcW w:w="0" w:type="auto"/>
            <w:tcBorders>
              <w:top w:val="nil"/>
              <w:left w:val="nil"/>
              <w:bottom w:val="nil"/>
              <w:right w:val="nil"/>
            </w:tcBorders>
            <w:shd w:val="clear" w:color="auto" w:fill="auto"/>
            <w:vAlign w:val="bottom"/>
            <w:hideMark/>
          </w:tcPr>
          <w:p w:rsidR="00BF00A4" w:rsidRPr="00BF00A4" w:rsidRDefault="00BF00A4" w:rsidP="00BF00A4">
            <w:r w:rsidRPr="00BF00A4">
              <w:rPr>
                <w:b/>
                <w:bCs/>
              </w:rPr>
              <w:t>"It wasn't just Egypt as a country that lost the war, but the political ideas upon which the country was based"</w:t>
            </w:r>
          </w:p>
          <w:p w:rsidR="00900CC7" w:rsidRPr="00BF00A4" w:rsidRDefault="00BF00A4" w:rsidP="00BF00A4">
            <w:proofErr w:type="spellStart"/>
            <w:r w:rsidRPr="00BF00A4">
              <w:t>Amr</w:t>
            </w:r>
            <w:proofErr w:type="spellEnd"/>
            <w:r w:rsidRPr="00BF00A4">
              <w:t xml:space="preserve"> Al </w:t>
            </w:r>
            <w:proofErr w:type="spellStart"/>
            <w:r w:rsidRPr="00BF00A4">
              <w:t>Shobaky</w:t>
            </w:r>
            <w:proofErr w:type="spellEnd"/>
            <w:r w:rsidRPr="00BF00A4">
              <w:t>, Political analyst and columnist</w:t>
            </w:r>
          </w:p>
        </w:tc>
      </w:tr>
    </w:tbl>
    <w:p w:rsidR="00BF00A4" w:rsidRPr="00BF00A4" w:rsidRDefault="00BF00A4" w:rsidP="00BF00A4">
      <w:r w:rsidRPr="00BF00A4">
        <w:t>"Before the 1967 war," he said, "we were looking at an entire political model, an entire ideology based on socialism. It wasn't just Egypt as a country that lost the war, but the political ideas upon which the country was based."</w:t>
      </w:r>
    </w:p>
    <w:p w:rsidR="00BF00A4" w:rsidRPr="00BF00A4" w:rsidRDefault="00BF00A4" w:rsidP="00BF00A4">
      <w:r w:rsidRPr="00BF00A4">
        <w:t>The defeat caused a transformation in the Arab body-politic and the public quickly began contemplating alternatives to nationalism.</w:t>
      </w:r>
    </w:p>
    <w:p w:rsidR="00BF00A4" w:rsidRPr="00BF00A4" w:rsidRDefault="00BF00A4" w:rsidP="00BF00A4">
      <w:r w:rsidRPr="00BF00A4">
        <w:t>In the post-1967 political atmosphere, three theories emerged to explain the root causes for the defeat.</w:t>
      </w:r>
    </w:p>
    <w:p w:rsidR="00BF00A4" w:rsidRPr="00BF00A4" w:rsidRDefault="00BF00A4" w:rsidP="00BF00A4">
      <w:r w:rsidRPr="00BF00A4">
        <w:t>The first, also known as the Marxist approach, faulted Nasser for not being sufficiently socialist. The second theory cited the lack of libertarianism in the region as the reason for the defeat.</w:t>
      </w:r>
    </w:p>
    <w:p w:rsidR="00BF00A4" w:rsidRPr="00BF00A4" w:rsidRDefault="00BF00A4" w:rsidP="00BF00A4">
      <w:r w:rsidRPr="00BF00A4">
        <w:t xml:space="preserve">"The third explanation," says </w:t>
      </w:r>
      <w:proofErr w:type="spellStart"/>
      <w:proofErr w:type="gramStart"/>
      <w:r w:rsidRPr="00BF00A4">
        <w:t>Shobaky</w:t>
      </w:r>
      <w:proofErr w:type="spellEnd"/>
      <w:r w:rsidRPr="00BF00A4">
        <w:t>,</w:t>
      </w:r>
      <w:proofErr w:type="gramEnd"/>
      <w:r w:rsidRPr="00BF00A4">
        <w:t xml:space="preserve"> "was the Islamic one, which stated that the defeat came as a result of the Arabs' deviation from the religious path of Islam."</w:t>
      </w:r>
    </w:p>
    <w:p w:rsidR="00BF00A4" w:rsidRPr="00BF00A4" w:rsidRDefault="00BF00A4" w:rsidP="00BF00A4">
      <w:r w:rsidRPr="00BF00A4">
        <w:rPr>
          <w:b/>
          <w:bCs/>
        </w:rPr>
        <w:t>Rallying call</w:t>
      </w:r>
    </w:p>
    <w:p w:rsidR="00BF00A4" w:rsidRPr="00BF00A4" w:rsidRDefault="00BF00A4" w:rsidP="00BF00A4">
      <w:r w:rsidRPr="00BF00A4">
        <w:t xml:space="preserve">In Egypt, the Muslim Brotherhood was the largest </w:t>
      </w:r>
      <w:proofErr w:type="spellStart"/>
      <w:r w:rsidRPr="00BF00A4">
        <w:t>organisation</w:t>
      </w:r>
      <w:proofErr w:type="spellEnd"/>
      <w:r w:rsidRPr="00BF00A4">
        <w:t xml:space="preserve"> seeking to create an Islamic theocracy.</w:t>
      </w:r>
    </w:p>
    <w:tbl>
      <w:tblPr>
        <w:tblpPr w:leftFromText="45" w:rightFromText="45" w:vertAnchor="text" w:tblpXSpec="right" w:tblpYSpec="center"/>
        <w:tblW w:w="0" w:type="pct"/>
        <w:shd w:val="clear" w:color="auto" w:fill="FFFFFF"/>
        <w:tblCellMar>
          <w:left w:w="0" w:type="dxa"/>
          <w:right w:w="0" w:type="dxa"/>
        </w:tblCellMar>
        <w:tblLook w:val="04A0"/>
      </w:tblPr>
      <w:tblGrid>
        <w:gridCol w:w="4080"/>
      </w:tblGrid>
      <w:tr w:rsidR="00BF00A4" w:rsidRPr="00BF00A4" w:rsidTr="00BF00A4">
        <w:tc>
          <w:tcPr>
            <w:tcW w:w="0" w:type="auto"/>
            <w:tcBorders>
              <w:top w:val="nil"/>
              <w:left w:val="nil"/>
              <w:bottom w:val="nil"/>
              <w:right w:val="nil"/>
            </w:tcBorders>
            <w:shd w:val="clear" w:color="auto" w:fill="auto"/>
            <w:vAlign w:val="bottom"/>
            <w:hideMark/>
          </w:tcPr>
          <w:p w:rsidR="00BF00A4" w:rsidRPr="00BF00A4" w:rsidRDefault="00BF00A4" w:rsidP="00BF00A4">
            <w:r w:rsidRPr="00BF00A4">
              <w:rPr>
                <w:noProof/>
              </w:rPr>
              <w:lastRenderedPageBreak/>
              <w:drawing>
                <wp:inline distT="0" distB="0" distL="0" distR="0">
                  <wp:extent cx="2571750" cy="1714500"/>
                  <wp:effectExtent l="19050" t="0" r="0" b="0"/>
                  <wp:docPr id="22" name="Picture 22" descr="http://www.aljazeera.com/mritems/images/2007/5/6/1_219032_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ljazeera.com/mritems/images/2007/5/6/1_219032_1_3.jpg"/>
                          <pic:cNvPicPr>
                            <a:picLocks noChangeAspect="1" noChangeArrowheads="1"/>
                          </pic:cNvPicPr>
                        </pic:nvPicPr>
                        <pic:blipFill>
                          <a:blip r:embed="rId16" cstate="print"/>
                          <a:srcRect/>
                          <a:stretch>
                            <a:fillRect/>
                          </a:stretch>
                        </pic:blipFill>
                        <pic:spPr bwMode="auto">
                          <a:xfrm>
                            <a:off x="0" y="0"/>
                            <a:ext cx="2571750" cy="1714500"/>
                          </a:xfrm>
                          <a:prstGeom prst="rect">
                            <a:avLst/>
                          </a:prstGeom>
                          <a:noFill/>
                          <a:ln w="9525">
                            <a:noFill/>
                            <a:miter lim="800000"/>
                            <a:headEnd/>
                            <a:tailEnd/>
                          </a:ln>
                        </pic:spPr>
                      </pic:pic>
                    </a:graphicData>
                  </a:graphic>
                </wp:inline>
              </w:drawing>
            </w:r>
          </w:p>
        </w:tc>
      </w:tr>
      <w:tr w:rsidR="00BF00A4" w:rsidRPr="00BF00A4" w:rsidTr="00BF00A4">
        <w:tc>
          <w:tcPr>
            <w:tcW w:w="0" w:type="auto"/>
            <w:tcBorders>
              <w:top w:val="nil"/>
              <w:left w:val="nil"/>
              <w:bottom w:val="nil"/>
              <w:right w:val="nil"/>
            </w:tcBorders>
            <w:shd w:val="clear" w:color="auto" w:fill="auto"/>
            <w:vAlign w:val="bottom"/>
            <w:hideMark/>
          </w:tcPr>
          <w:p w:rsidR="00BF00A4" w:rsidRPr="00BF00A4" w:rsidRDefault="00BF00A4" w:rsidP="00BF00A4">
            <w:pPr>
              <w:rPr>
                <w:b/>
                <w:bCs/>
              </w:rPr>
            </w:pPr>
            <w:r w:rsidRPr="00BF00A4">
              <w:rPr>
                <w:b/>
                <w:bCs/>
              </w:rPr>
              <w:t>The 1967 war convinced al-</w:t>
            </w:r>
            <w:proofErr w:type="spellStart"/>
            <w:r w:rsidRPr="00BF00A4">
              <w:rPr>
                <w:b/>
                <w:bCs/>
              </w:rPr>
              <w:t>Zawahiri</w:t>
            </w:r>
            <w:proofErr w:type="spellEnd"/>
            <w:r w:rsidRPr="00BF00A4">
              <w:rPr>
                <w:b/>
                <w:bCs/>
              </w:rPr>
              <w:t xml:space="preserve"> that</w:t>
            </w:r>
            <w:r w:rsidRPr="00BF00A4">
              <w:rPr>
                <w:b/>
                <w:bCs/>
              </w:rPr>
              <w:br/>
              <w:t>the secular political system was bankrupt</w:t>
            </w:r>
          </w:p>
        </w:tc>
      </w:tr>
    </w:tbl>
    <w:p w:rsidR="00BF00A4" w:rsidRPr="00BF00A4" w:rsidRDefault="00BF00A4" w:rsidP="00BF00A4">
      <w:r w:rsidRPr="00BF00A4">
        <w:t>Members were routinely arrested and jailed but they maintained an uneasy relationship with the Nasserite government.</w:t>
      </w:r>
    </w:p>
    <w:p w:rsidR="00BF00A4" w:rsidRPr="00BF00A4" w:rsidRDefault="00BF00A4" w:rsidP="00BF00A4">
      <w:r w:rsidRPr="00BF00A4">
        <w:t xml:space="preserve">In 1966, however, </w:t>
      </w:r>
      <w:proofErr w:type="spellStart"/>
      <w:r w:rsidRPr="00BF00A4">
        <w:t>Sayyid</w:t>
      </w:r>
      <w:proofErr w:type="spellEnd"/>
      <w:r w:rsidRPr="00BF00A4">
        <w:t xml:space="preserve"> </w:t>
      </w:r>
      <w:proofErr w:type="spellStart"/>
      <w:r w:rsidRPr="00BF00A4">
        <w:t>Qutb</w:t>
      </w:r>
      <w:proofErr w:type="spellEnd"/>
      <w:r w:rsidRPr="00BF00A4">
        <w:t>, the spiritual founder of the Brotherhood was executed.</w:t>
      </w:r>
    </w:p>
    <w:p w:rsidR="00BF00A4" w:rsidRPr="00BF00A4" w:rsidRDefault="00BF00A4" w:rsidP="00BF00A4">
      <w:proofErr w:type="spellStart"/>
      <w:r w:rsidRPr="00BF00A4">
        <w:t>Ayman</w:t>
      </w:r>
      <w:proofErr w:type="spellEnd"/>
      <w:r w:rsidRPr="00BF00A4">
        <w:t xml:space="preserve"> al-</w:t>
      </w:r>
      <w:proofErr w:type="spellStart"/>
      <w:r w:rsidRPr="00BF00A4">
        <w:t>Zawahri</w:t>
      </w:r>
      <w:proofErr w:type="spellEnd"/>
      <w:r w:rsidRPr="00BF00A4">
        <w:t>, then a 15-year-old junior member of the Brotherhood and aspiring medical student, would later recount in his book </w:t>
      </w:r>
      <w:r w:rsidRPr="00BF00A4">
        <w:rPr>
          <w:i/>
          <w:iCs/>
        </w:rPr>
        <w:t>Knights under the Prophet's Banner</w:t>
      </w:r>
      <w:r w:rsidRPr="00BF00A4">
        <w:t xml:space="preserve"> that the execution inspired him to form an underground network which sought to replace President </w:t>
      </w:r>
      <w:proofErr w:type="spellStart"/>
      <w:r w:rsidRPr="00BF00A4">
        <w:t>Gamal</w:t>
      </w:r>
      <w:proofErr w:type="spellEnd"/>
      <w:r w:rsidRPr="00BF00A4">
        <w:t xml:space="preserve"> Abdel Nasser with an Islamist caliphate.</w:t>
      </w:r>
    </w:p>
    <w:p w:rsidR="00BF00A4" w:rsidRPr="00BF00A4" w:rsidRDefault="00BF00A4" w:rsidP="00BF00A4">
      <w:r w:rsidRPr="00BF00A4">
        <w:t>But it would be the 1967 defeat that would serve as a rallying call for al-</w:t>
      </w:r>
      <w:proofErr w:type="spellStart"/>
      <w:r w:rsidRPr="00BF00A4">
        <w:t>Zawahri</w:t>
      </w:r>
      <w:proofErr w:type="spellEnd"/>
      <w:r w:rsidRPr="00BF00A4">
        <w:t xml:space="preserve"> and provide him new recruitment avenues.</w:t>
      </w:r>
    </w:p>
    <w:p w:rsidR="00BF00A4" w:rsidRPr="00BF00A4" w:rsidRDefault="00BF00A4" w:rsidP="00BF00A4">
      <w:r w:rsidRPr="00BF00A4">
        <w:rPr>
          <w:b/>
          <w:bCs/>
        </w:rPr>
        <w:t>Birthplace of Al-Qaeda</w:t>
      </w:r>
    </w:p>
    <w:p w:rsidR="00BF00A4" w:rsidRPr="00BF00A4" w:rsidRDefault="00BF00A4" w:rsidP="00BF00A4">
      <w:r w:rsidRPr="00BF00A4">
        <w:t xml:space="preserve">The execution of </w:t>
      </w:r>
      <w:proofErr w:type="spellStart"/>
      <w:r w:rsidRPr="00BF00A4">
        <w:t>Qutb</w:t>
      </w:r>
      <w:proofErr w:type="spellEnd"/>
      <w:r w:rsidRPr="00BF00A4">
        <w:t xml:space="preserve"> and the 1967 defeat became fixations for al-</w:t>
      </w:r>
      <w:proofErr w:type="spellStart"/>
      <w:r w:rsidRPr="00BF00A4">
        <w:t>Zawahri</w:t>
      </w:r>
      <w:proofErr w:type="spellEnd"/>
      <w:r w:rsidRPr="00BF00A4">
        <w:t xml:space="preserve"> and reinforced his view that the secular political system was bankrupt.</w:t>
      </w:r>
    </w:p>
    <w:tbl>
      <w:tblPr>
        <w:tblpPr w:leftFromText="45" w:rightFromText="45" w:vertAnchor="text" w:tblpXSpec="right" w:tblpYSpec="center"/>
        <w:tblW w:w="1800" w:type="dxa"/>
        <w:shd w:val="clear" w:color="auto" w:fill="FFFFFF"/>
        <w:tblCellMar>
          <w:left w:w="0" w:type="dxa"/>
          <w:right w:w="0" w:type="dxa"/>
        </w:tblCellMar>
        <w:tblLook w:val="04A0"/>
      </w:tblPr>
      <w:tblGrid>
        <w:gridCol w:w="1800"/>
      </w:tblGrid>
      <w:tr w:rsidR="00BF00A4" w:rsidRPr="00BF00A4" w:rsidTr="00BF00A4">
        <w:tc>
          <w:tcPr>
            <w:tcW w:w="0" w:type="auto"/>
            <w:tcBorders>
              <w:top w:val="nil"/>
              <w:left w:val="nil"/>
              <w:bottom w:val="nil"/>
              <w:right w:val="nil"/>
            </w:tcBorders>
            <w:shd w:val="clear" w:color="auto" w:fill="auto"/>
            <w:vAlign w:val="bottom"/>
            <w:hideMark/>
          </w:tcPr>
          <w:p w:rsidR="00BF00A4" w:rsidRPr="00BF00A4" w:rsidRDefault="00BF00A4" w:rsidP="00BF00A4">
            <w:r w:rsidRPr="00BF00A4">
              <w:rPr>
                <w:b/>
                <w:bCs/>
              </w:rPr>
              <w:t>"Every single one of the Islamic jihadists I interviewed said 1967 marked a watershed [moment] for them"</w:t>
            </w:r>
          </w:p>
          <w:p w:rsidR="00900CC7" w:rsidRPr="00BF00A4" w:rsidRDefault="00BF00A4" w:rsidP="00BF00A4">
            <w:proofErr w:type="spellStart"/>
            <w:r w:rsidRPr="00BF00A4">
              <w:t>Fawaz</w:t>
            </w:r>
            <w:proofErr w:type="spellEnd"/>
            <w:r w:rsidRPr="00BF00A4">
              <w:t xml:space="preserve"> </w:t>
            </w:r>
            <w:proofErr w:type="spellStart"/>
            <w:r w:rsidRPr="00BF00A4">
              <w:t>Gerges</w:t>
            </w:r>
            <w:proofErr w:type="spellEnd"/>
            <w:r w:rsidRPr="00BF00A4">
              <w:t>, author</w:t>
            </w:r>
          </w:p>
        </w:tc>
      </w:tr>
    </w:tbl>
    <w:p w:rsidR="00BF00A4" w:rsidRPr="00BF00A4" w:rsidRDefault="00BF00A4" w:rsidP="00BF00A4">
      <w:r w:rsidRPr="00BF00A4">
        <w:t>Many other Islamists felt the same way.</w:t>
      </w:r>
    </w:p>
    <w:p w:rsidR="00BF00A4" w:rsidRPr="00BF00A4" w:rsidRDefault="00BF00A4" w:rsidP="00BF00A4">
      <w:r w:rsidRPr="00BF00A4">
        <w:t>In interviews, diaries and trial testimony they would recount how defeat at the hands of the Israelis injured their pride, culture and identity and left them feeling betrayed.</w:t>
      </w:r>
    </w:p>
    <w:p w:rsidR="00BF00A4" w:rsidRPr="00BF00A4" w:rsidRDefault="00BF00A4" w:rsidP="00BF00A4">
      <w:proofErr w:type="spellStart"/>
      <w:r w:rsidRPr="00BF00A4">
        <w:t>Fawaz</w:t>
      </w:r>
      <w:proofErr w:type="spellEnd"/>
      <w:r w:rsidRPr="00BF00A4">
        <w:t xml:space="preserve"> </w:t>
      </w:r>
      <w:proofErr w:type="spellStart"/>
      <w:r w:rsidRPr="00BF00A4">
        <w:t>Gerges</w:t>
      </w:r>
      <w:proofErr w:type="spellEnd"/>
      <w:r w:rsidRPr="00BF00A4">
        <w:t xml:space="preserve">, an expert on Islamic jihadist </w:t>
      </w:r>
      <w:proofErr w:type="spellStart"/>
      <w:r w:rsidRPr="00BF00A4">
        <w:t>organisations</w:t>
      </w:r>
      <w:proofErr w:type="spellEnd"/>
      <w:r w:rsidRPr="00BF00A4">
        <w:t xml:space="preserve"> and author of </w:t>
      </w:r>
      <w:r w:rsidRPr="00BF00A4">
        <w:rPr>
          <w:i/>
          <w:iCs/>
        </w:rPr>
        <w:t>The Far Enemy: Why Jihad Went Global,</w:t>
      </w:r>
      <w:r w:rsidRPr="00BF00A4">
        <w:t> says the 1967 defeat and its aftershocks "can be considered the most pivotal event which helps us understand why Islamic militancy has become a potent force in the region".</w:t>
      </w:r>
    </w:p>
    <w:p w:rsidR="00BF00A4" w:rsidRPr="00BF00A4" w:rsidRDefault="00BF00A4" w:rsidP="00BF00A4">
      <w:r w:rsidRPr="00BF00A4">
        <w:t>"Every single one of the Islamic Jihadists I interviewed said 1967 marked a watershed [moment] for them - a brutal awakening that Arab socialist leaders had deceived them,</w:t>
      </w:r>
      <w:proofErr w:type="gramStart"/>
      <w:r w:rsidRPr="00BF00A4">
        <w:t xml:space="preserve">  </w:t>
      </w:r>
      <w:proofErr w:type="spellStart"/>
      <w:r w:rsidRPr="00BF00A4">
        <w:t>Gerges</w:t>
      </w:r>
      <w:proofErr w:type="spellEnd"/>
      <w:proofErr w:type="gramEnd"/>
      <w:r w:rsidRPr="00BF00A4">
        <w:t xml:space="preserve"> told Al </w:t>
      </w:r>
      <w:proofErr w:type="spellStart"/>
      <w:r w:rsidRPr="00BF00A4">
        <w:t>Jazeera</w:t>
      </w:r>
      <w:proofErr w:type="spellEnd"/>
      <w:r w:rsidRPr="00BF00A4">
        <w:t>.</w:t>
      </w:r>
    </w:p>
    <w:p w:rsidR="00BF00A4" w:rsidRPr="00BF00A4" w:rsidRDefault="00BF00A4" w:rsidP="00BF00A4">
      <w:r w:rsidRPr="00BF00A4">
        <w:t xml:space="preserve">The 1967 defeat, </w:t>
      </w:r>
      <w:proofErr w:type="spellStart"/>
      <w:r w:rsidRPr="00BF00A4">
        <w:t>Gerges</w:t>
      </w:r>
      <w:proofErr w:type="spellEnd"/>
      <w:r w:rsidRPr="00BF00A4">
        <w:t xml:space="preserve"> argues, gave way to a profound change in the Middle East as Islamism began to emerge as the dominating ideology.</w:t>
      </w:r>
    </w:p>
    <w:p w:rsidR="00BF00A4" w:rsidRDefault="00BF00A4" w:rsidP="00BF00A4"/>
    <w:p w:rsidR="00BF00A4" w:rsidRDefault="00BF00A4" w:rsidP="0002534E">
      <w:pPr>
        <w:jc w:val="center"/>
      </w:pPr>
    </w:p>
    <w:p w:rsidR="00BF00A4" w:rsidRDefault="00BF00A4" w:rsidP="00BF00A4"/>
    <w:p w:rsidR="00BF00A4" w:rsidRDefault="00BF00A4" w:rsidP="0002534E">
      <w:pPr>
        <w:jc w:val="center"/>
      </w:pPr>
    </w:p>
    <w:tbl>
      <w:tblPr>
        <w:tblW w:w="5000" w:type="pct"/>
        <w:tblCellSpacing w:w="0" w:type="dxa"/>
        <w:tblCellMar>
          <w:left w:w="0" w:type="dxa"/>
          <w:right w:w="0" w:type="dxa"/>
        </w:tblCellMar>
        <w:tblLook w:val="04A0"/>
      </w:tblPr>
      <w:tblGrid>
        <w:gridCol w:w="9435"/>
      </w:tblGrid>
      <w:tr w:rsidR="009B6C73" w:rsidRPr="009B6C73" w:rsidTr="009B6C73">
        <w:trPr>
          <w:tblCellSpacing w:w="0" w:type="dxa"/>
        </w:trPr>
        <w:tc>
          <w:tcPr>
            <w:tcW w:w="0" w:type="auto"/>
            <w:tcMar>
              <w:top w:w="120" w:type="dxa"/>
              <w:left w:w="75" w:type="dxa"/>
              <w:bottom w:w="0" w:type="dxa"/>
              <w:right w:w="0" w:type="dxa"/>
            </w:tcMar>
            <w:vAlign w:val="center"/>
            <w:hideMark/>
          </w:tcPr>
          <w:p w:rsidR="009B6C73" w:rsidRPr="009B6C73" w:rsidRDefault="009B6C73" w:rsidP="009B6C73">
            <w:pPr>
              <w:spacing w:after="0"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00"/>
                <w:sz w:val="27"/>
                <w:szCs w:val="27"/>
              </w:rPr>
              <w:lastRenderedPageBreak/>
              <w:drawing>
                <wp:inline distT="0" distB="0" distL="0" distR="0">
                  <wp:extent cx="1697990" cy="166370"/>
                  <wp:effectExtent l="0" t="0" r="0" b="0"/>
                  <wp:docPr id="1" name="Picture 1" descr="http://www.sixdaywar.org/images/2ndlevelhead_longte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xdaywar.org/images/2ndlevelhead_longterm.gif"/>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7990" cy="166370"/>
                          </a:xfrm>
                          <a:prstGeom prst="rect">
                            <a:avLst/>
                          </a:prstGeom>
                          <a:noFill/>
                          <a:ln>
                            <a:noFill/>
                          </a:ln>
                        </pic:spPr>
                      </pic:pic>
                    </a:graphicData>
                  </a:graphic>
                </wp:inline>
              </w:drawing>
            </w:r>
          </w:p>
        </w:tc>
      </w:tr>
      <w:tr w:rsidR="009B6C73" w:rsidRPr="009B6C73" w:rsidTr="009B6C73">
        <w:trPr>
          <w:trHeight w:val="45"/>
          <w:tblCellSpacing w:w="0" w:type="dxa"/>
        </w:trPr>
        <w:tc>
          <w:tcPr>
            <w:tcW w:w="0" w:type="auto"/>
            <w:vAlign w:val="center"/>
            <w:hideMark/>
          </w:tcPr>
          <w:p w:rsidR="009B6C73" w:rsidRPr="009B6C73" w:rsidRDefault="009B6C73" w:rsidP="009B6C73">
            <w:pPr>
              <w:spacing w:after="0" w:line="240" w:lineRule="auto"/>
              <w:rPr>
                <w:rFonts w:ascii="Times New Roman" w:eastAsia="Times New Roman" w:hAnsi="Times New Roman" w:cs="Times New Roman"/>
                <w:color w:val="000000"/>
                <w:sz w:val="4"/>
                <w:szCs w:val="27"/>
              </w:rPr>
            </w:pPr>
          </w:p>
        </w:tc>
      </w:tr>
      <w:tr w:rsidR="009B6C73" w:rsidRPr="009B6C73" w:rsidTr="009B6C73">
        <w:trPr>
          <w:trHeight w:val="4500"/>
          <w:tblCellSpacing w:w="0" w:type="dxa"/>
        </w:trPr>
        <w:tc>
          <w:tcPr>
            <w:tcW w:w="0" w:type="auto"/>
            <w:tcMar>
              <w:top w:w="150" w:type="dxa"/>
              <w:left w:w="375" w:type="dxa"/>
              <w:bottom w:w="0" w:type="dxa"/>
              <w:right w:w="375" w:type="dxa"/>
            </w:tcMar>
            <w:hideMark/>
          </w:tcPr>
          <w:p w:rsidR="009B6C73" w:rsidRP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The Six-Day War had many long term implications on the region. Jordan's decision to join the fighting exacerbated the refugee problem by prompting some inhabitants of the West Bank to cross the Jordan river to the "East Bank" of Jordan.</w:t>
            </w:r>
          </w:p>
          <w:p w:rsidR="009B6C73" w:rsidRPr="009B6C73" w:rsidRDefault="009B6C73" w:rsidP="009B6C73">
            <w:pPr>
              <w:spacing w:after="0"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Some of these displaced people were able to return to Israeli-controlled West Bank and, along with their neighbors, witnessed unprecedented economic growth over the course of the next two decades. Israeli investment into the infrastructure of the West Bank and the Gaza Strip, coupled with policies that allowed Arabs to move freely increased the standard of living of Palestinians, who were now able to work both in Israel and in the oil rich countries in the Middle East.</w:t>
            </w:r>
          </w:p>
          <w:p w:rsidR="009B6C73" w:rsidRPr="009B6C73" w:rsidRDefault="009B6C73" w:rsidP="009B6C73">
            <w:pPr>
              <w:spacing w:after="0"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 </w:t>
            </w:r>
          </w:p>
          <w:p w:rsidR="009B6C73" w:rsidRPr="009B6C73" w:rsidRDefault="009B6C73" w:rsidP="009B6C73">
            <w:pPr>
              <w:spacing w:after="0"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 xml:space="preserve">Despite this relative prosperity and years of quiet under Israeli occupation, many Palestinians — and especially their leadership abroad, the PLO — were interested neither in continued occupation nor a state of their own alongside Israel. (The PLO insisted that Palestine should </w:t>
            </w:r>
            <w:proofErr w:type="spellStart"/>
            <w:r w:rsidRPr="009B6C73">
              <w:rPr>
                <w:rFonts w:ascii="Arial" w:eastAsia="Times New Roman" w:hAnsi="Arial" w:cs="Arial"/>
                <w:color w:val="000000"/>
                <w:sz w:val="20"/>
                <w:szCs w:val="20"/>
              </w:rPr>
              <w:t>relace</w:t>
            </w:r>
            <w:proofErr w:type="spellEnd"/>
            <w:r w:rsidRPr="009B6C73">
              <w:rPr>
                <w:rFonts w:ascii="Arial" w:eastAsia="Times New Roman" w:hAnsi="Arial" w:cs="Arial"/>
                <w:color w:val="000000"/>
                <w:sz w:val="20"/>
                <w:szCs w:val="20"/>
              </w:rPr>
              <w:t>, rather than co-exist with, Israel.) With growing unrest in the territories came greater restrictions. Violent uprisings, often targeting Israeli civilians, prompted increasing Israeli security measures. These in turn led to an increasingly burdensome occupation. Eventually, peace with Egypt allowed Israel give up the Sinai Peninsula. A subsequent Israeli withdrawal from the Gaza Strip without a peace treaty failed to end violence against Israel from that territory.</w:t>
            </w:r>
          </w:p>
          <w:p w:rsidR="009B6C73" w:rsidRP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The war also put a strain on Christian-Jewish relations in the U.S. as some Jewish leaders faulted Christian institutions for not speaking out against Arab enmity toward Israel in the weeks before the war. Christian publications initially acknowledged Arab responsibility for the war, but by 1968, Christian commentators and activists started using different lens — one of Arab innocence and Zionist culpability — to interpret the Arab-Israeli conflict.</w:t>
            </w:r>
          </w:p>
          <w:p w:rsidR="009B6C73" w:rsidRPr="009B6C73" w:rsidRDefault="009B6C73" w:rsidP="009B6C73">
            <w:pPr>
              <w:spacing w:after="0" w:line="240" w:lineRule="auto"/>
              <w:jc w:val="both"/>
              <w:rPr>
                <w:rFonts w:ascii="Arial" w:eastAsia="Times New Roman" w:hAnsi="Arial" w:cs="Arial"/>
                <w:color w:val="000000"/>
                <w:sz w:val="20"/>
                <w:szCs w:val="20"/>
              </w:rPr>
            </w:pPr>
          </w:p>
          <w:tbl>
            <w:tblPr>
              <w:tblW w:w="5000" w:type="pct"/>
              <w:tblCellSpacing w:w="0" w:type="dxa"/>
              <w:tblCellMar>
                <w:left w:w="0" w:type="dxa"/>
                <w:right w:w="0" w:type="dxa"/>
              </w:tblCellMar>
              <w:tblLook w:val="04A0"/>
            </w:tblPr>
            <w:tblGrid>
              <w:gridCol w:w="8685"/>
            </w:tblGrid>
            <w:tr w:rsidR="009B6C73" w:rsidRPr="009B6C73" w:rsidTr="009B6C73">
              <w:trPr>
                <w:tblCellSpacing w:w="0" w:type="dxa"/>
              </w:trPr>
              <w:tc>
                <w:tcPr>
                  <w:tcW w:w="0" w:type="auto"/>
                  <w:tcMar>
                    <w:top w:w="120" w:type="dxa"/>
                    <w:left w:w="75" w:type="dxa"/>
                    <w:bottom w:w="0" w:type="dxa"/>
                    <w:right w:w="0" w:type="dxa"/>
                  </w:tcMar>
                  <w:vAlign w:val="center"/>
                  <w:hideMark/>
                </w:tcPr>
                <w:p w:rsidR="009B6C73" w:rsidRPr="009B6C73" w:rsidRDefault="009B6C73" w:rsidP="009B6C73">
                  <w:pPr>
                    <w:spacing w:after="0"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00"/>
                      <w:sz w:val="27"/>
                      <w:szCs w:val="27"/>
                    </w:rPr>
                    <w:drawing>
                      <wp:inline distT="0" distB="0" distL="0" distR="0">
                        <wp:extent cx="1911985" cy="166370"/>
                        <wp:effectExtent l="0" t="0" r="0" b="0"/>
                        <wp:docPr id="3" name="Picture 3" descr="http://www.sixdaywar.org/images/2ndlevelhead_immedi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xdaywar.org/images/2ndlevelhead_immediate.gif"/>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1985" cy="166370"/>
                                </a:xfrm>
                                <a:prstGeom prst="rect">
                                  <a:avLst/>
                                </a:prstGeom>
                                <a:noFill/>
                                <a:ln>
                                  <a:noFill/>
                                </a:ln>
                              </pic:spPr>
                            </pic:pic>
                          </a:graphicData>
                        </a:graphic>
                      </wp:inline>
                    </w:drawing>
                  </w:r>
                </w:p>
              </w:tc>
            </w:tr>
            <w:tr w:rsidR="009B6C73" w:rsidRPr="009B6C73" w:rsidTr="009B6C73">
              <w:trPr>
                <w:trHeight w:val="45"/>
                <w:tblCellSpacing w:w="0" w:type="dxa"/>
              </w:trPr>
              <w:tc>
                <w:tcPr>
                  <w:tcW w:w="0" w:type="auto"/>
                  <w:vAlign w:val="center"/>
                  <w:hideMark/>
                </w:tcPr>
                <w:p w:rsidR="009B6C73" w:rsidRPr="009B6C73" w:rsidRDefault="009B6C73" w:rsidP="009B6C73">
                  <w:pPr>
                    <w:spacing w:after="0" w:line="240" w:lineRule="auto"/>
                    <w:rPr>
                      <w:rFonts w:ascii="Times New Roman" w:eastAsia="Times New Roman" w:hAnsi="Times New Roman" w:cs="Times New Roman"/>
                      <w:color w:val="000000"/>
                      <w:sz w:val="4"/>
                      <w:szCs w:val="27"/>
                    </w:rPr>
                  </w:pPr>
                </w:p>
              </w:tc>
            </w:tr>
            <w:tr w:rsidR="009B6C73" w:rsidRPr="009B6C73" w:rsidTr="009B6C73">
              <w:trPr>
                <w:trHeight w:val="4500"/>
                <w:tblCellSpacing w:w="0" w:type="dxa"/>
              </w:trPr>
              <w:tc>
                <w:tcPr>
                  <w:tcW w:w="0" w:type="auto"/>
                  <w:tcMar>
                    <w:top w:w="150" w:type="dxa"/>
                    <w:left w:w="375" w:type="dxa"/>
                    <w:bottom w:w="0" w:type="dxa"/>
                    <w:right w:w="375" w:type="dxa"/>
                  </w:tcMar>
                  <w:hideMark/>
                </w:tcPr>
                <w:p w:rsidR="009B6C73" w:rsidRP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After the Six-Day War ended, diplomacy was the order of the day; but the war had done little to bring the sides closer together, and at a summit in Khartoum, Sudan, Arab countries repudiated peace and reaffirmed their rejection of Israel.</w:t>
                  </w:r>
                </w:p>
                <w:p w:rsid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r w:rsidRPr="009B6C73">
                    <w:rPr>
                      <w:rFonts w:ascii="Arial" w:eastAsia="Times New Roman" w:hAnsi="Arial" w:cs="Arial"/>
                      <w:color w:val="000000"/>
                      <w:sz w:val="20"/>
                      <w:szCs w:val="20"/>
                    </w:rPr>
                    <w:t>More diplomatic headway was made in the United Nations Security Council. After some wrangling, the international community agreed on several principles that would be the basis of a "just and lasting peace" in the Middle East.</w:t>
                  </w:r>
                </w:p>
                <w:p w:rsidR="009B6C73" w:rsidRP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p>
              </w:tc>
            </w:tr>
          </w:tbl>
          <w:p w:rsidR="009B6C73" w:rsidRPr="009B6C73" w:rsidRDefault="009B6C73" w:rsidP="009B6C73">
            <w:pPr>
              <w:spacing w:before="100" w:beforeAutospacing="1" w:after="100" w:afterAutospacing="1" w:line="240" w:lineRule="auto"/>
              <w:jc w:val="both"/>
              <w:rPr>
                <w:rFonts w:ascii="Arial" w:eastAsia="Times New Roman" w:hAnsi="Arial" w:cs="Arial"/>
                <w:color w:val="000000"/>
                <w:sz w:val="20"/>
                <w:szCs w:val="20"/>
              </w:rPr>
            </w:pPr>
          </w:p>
        </w:tc>
      </w:tr>
    </w:tbl>
    <w:p w:rsidR="00BF00A4" w:rsidRDefault="00BF00A4" w:rsidP="009B6C73"/>
    <w:p w:rsidR="00BF00A4" w:rsidRDefault="00BF00A4" w:rsidP="0002534E">
      <w:pPr>
        <w:jc w:val="center"/>
      </w:pPr>
    </w:p>
    <w:p w:rsidR="009B6C73" w:rsidRPr="009B6C73" w:rsidRDefault="009B6C73" w:rsidP="009B6C73">
      <w:r w:rsidRPr="009B6C73">
        <w:rPr>
          <w:b/>
          <w:bCs/>
        </w:rPr>
        <w:lastRenderedPageBreak/>
        <w:t>Resolution 242 (1967</w:t>
      </w:r>
      <w:proofErr w:type="gramStart"/>
      <w:r w:rsidRPr="009B6C73">
        <w:rPr>
          <w:b/>
          <w:bCs/>
        </w:rPr>
        <w:t>)</w:t>
      </w:r>
      <w:proofErr w:type="gramEnd"/>
      <w:r w:rsidRPr="009B6C73">
        <w:br/>
      </w:r>
      <w:r w:rsidRPr="009B6C73">
        <w:rPr>
          <w:b/>
          <w:bCs/>
        </w:rPr>
        <w:t>of 22 November 1967</w:t>
      </w:r>
    </w:p>
    <w:p w:rsidR="00BF00A4" w:rsidRDefault="009B6C73" w:rsidP="009B6C73">
      <w:r w:rsidRPr="009B6C73">
        <w:br/>
      </w:r>
      <w:r w:rsidRPr="009B6C73">
        <w:rPr>
          <w:i/>
          <w:iCs/>
        </w:rPr>
        <w:t>The Security Council,</w:t>
      </w:r>
      <w:r w:rsidRPr="009B6C73">
        <w:br/>
      </w:r>
      <w:r w:rsidRPr="009B6C73">
        <w:br/>
      </w:r>
      <w:r w:rsidRPr="009B6C73">
        <w:rPr>
          <w:i/>
          <w:iCs/>
        </w:rPr>
        <w:t>Expressing</w:t>
      </w:r>
      <w:r w:rsidRPr="009B6C73">
        <w:t> its continuing concern with the grave situation in the Middle East,</w:t>
      </w:r>
      <w:r w:rsidRPr="009B6C73">
        <w:br/>
      </w:r>
      <w:r w:rsidRPr="009B6C73">
        <w:br/>
      </w:r>
      <w:r w:rsidRPr="009B6C73">
        <w:rPr>
          <w:i/>
          <w:iCs/>
        </w:rPr>
        <w:t>Emphasizing</w:t>
      </w:r>
      <w:r w:rsidRPr="009B6C73">
        <w:t> the inadmissibility of the acquisition of territory by war and the need to work for a just and lasting peace in which every State in the area can live in security,</w:t>
      </w:r>
      <w:r w:rsidRPr="009B6C73">
        <w:br/>
      </w:r>
      <w:r w:rsidRPr="009B6C73">
        <w:br/>
      </w:r>
      <w:r w:rsidRPr="009B6C73">
        <w:rPr>
          <w:i/>
          <w:iCs/>
        </w:rPr>
        <w:t>Emphasizing further</w:t>
      </w:r>
      <w:r w:rsidRPr="009B6C73">
        <w:t> that all Member States in their acceptance of the Charter of the United Nations have undertaken a commitment to act in accordance with Article 2 of the </w:t>
      </w:r>
      <w:hyperlink r:id="rId19" w:history="1">
        <w:r w:rsidRPr="009B6C73">
          <w:rPr>
            <w:rStyle w:val="Hyperlink"/>
          </w:rPr>
          <w:t>Charter</w:t>
        </w:r>
      </w:hyperlink>
      <w:r w:rsidRPr="009B6C73">
        <w:t>,</w:t>
      </w:r>
      <w:r w:rsidRPr="009B6C73">
        <w:br/>
      </w:r>
      <w:r w:rsidRPr="009B6C73">
        <w:br/>
        <w:t xml:space="preserve">1. </w:t>
      </w:r>
      <w:r w:rsidRPr="009B6C73">
        <w:rPr>
          <w:i/>
          <w:iCs/>
        </w:rPr>
        <w:t>Affirms</w:t>
      </w:r>
      <w:r w:rsidRPr="009B6C73">
        <w:t xml:space="preserve"> that the </w:t>
      </w:r>
      <w:proofErr w:type="spellStart"/>
      <w:r w:rsidRPr="009B6C73">
        <w:t>fulfilment</w:t>
      </w:r>
      <w:proofErr w:type="spellEnd"/>
      <w:r w:rsidRPr="009B6C73">
        <w:t xml:space="preserve"> of Charter principles requires the establishment of a just and lasting peace in the Middle East which should include the application of both the following principles:</w:t>
      </w:r>
      <w:r w:rsidRPr="009B6C73">
        <w:br/>
      </w:r>
      <w:r w:rsidRPr="009B6C73">
        <w:br/>
        <w:t>(</w:t>
      </w:r>
      <w:proofErr w:type="spellStart"/>
      <w:r w:rsidRPr="009B6C73">
        <w:t>i</w:t>
      </w:r>
      <w:proofErr w:type="spellEnd"/>
      <w:r w:rsidRPr="009B6C73">
        <w:t>) Withdrawal of Israel armed forces from </w:t>
      </w:r>
      <w:hyperlink r:id="rId20" w:history="1">
        <w:r w:rsidRPr="009B6C73">
          <w:rPr>
            <w:rStyle w:val="Hyperlink"/>
          </w:rPr>
          <w:t>territories </w:t>
        </w:r>
      </w:hyperlink>
      <w:r w:rsidRPr="009B6C73">
        <w:t>occupied in the recent conflict;</w:t>
      </w:r>
      <w:r w:rsidRPr="009B6C73">
        <w:br/>
      </w:r>
      <w:r w:rsidRPr="009B6C73">
        <w:br/>
        <w:t xml:space="preserve">(ii) Termination of all claims or states of belligerency and respect for </w:t>
      </w:r>
      <w:proofErr w:type="spellStart"/>
      <w:r w:rsidRPr="009B6C73">
        <w:t>and</w:t>
      </w:r>
      <w:proofErr w:type="spellEnd"/>
      <w:r w:rsidRPr="009B6C73">
        <w:t xml:space="preserve"> acknowledgment of the sovereignty, territorial integrity and political independence of every State in the area and their right to live in peace within secure and recognized boundaries free from threats or acts of force;</w:t>
      </w:r>
      <w:r w:rsidRPr="009B6C73">
        <w:br/>
      </w:r>
      <w:r w:rsidRPr="009B6C73">
        <w:br/>
        <w:t xml:space="preserve">2. </w:t>
      </w:r>
      <w:r w:rsidRPr="009B6C73">
        <w:rPr>
          <w:i/>
          <w:iCs/>
        </w:rPr>
        <w:t>Affirms further</w:t>
      </w:r>
      <w:r w:rsidRPr="009B6C73">
        <w:t> the necessity</w:t>
      </w:r>
      <w:r w:rsidRPr="009B6C73">
        <w:br/>
      </w:r>
      <w:r w:rsidRPr="009B6C73">
        <w:br/>
      </w:r>
      <w:r w:rsidRPr="009B6C73">
        <w:rPr>
          <w:i/>
          <w:iCs/>
        </w:rPr>
        <w:t>(a)</w:t>
      </w:r>
      <w:r w:rsidRPr="009B6C73">
        <w:t xml:space="preserve"> For guaranteeing freedom of navigation through international waterways in the area;</w:t>
      </w:r>
      <w:r w:rsidRPr="009B6C73">
        <w:br/>
      </w:r>
      <w:r w:rsidRPr="009B6C73">
        <w:br/>
      </w:r>
      <w:r w:rsidRPr="009B6C73">
        <w:rPr>
          <w:i/>
          <w:iCs/>
        </w:rPr>
        <w:t>(b)</w:t>
      </w:r>
      <w:r w:rsidRPr="009B6C73">
        <w:t xml:space="preserve"> For achieving a just settlement of the refugee problem;</w:t>
      </w:r>
      <w:r w:rsidRPr="009B6C73">
        <w:br/>
      </w:r>
      <w:r w:rsidRPr="009B6C73">
        <w:br/>
      </w:r>
      <w:r w:rsidRPr="009B6C73">
        <w:rPr>
          <w:i/>
          <w:iCs/>
        </w:rPr>
        <w:t>(c)</w:t>
      </w:r>
      <w:r w:rsidRPr="009B6C73">
        <w:t xml:space="preserve"> For guaranteeing the territorial inviolability and political independence of every State in the area, through measures including the establishment of demilitarized zones;</w:t>
      </w:r>
      <w:r w:rsidRPr="009B6C73">
        <w:br/>
      </w:r>
      <w:r w:rsidRPr="009B6C73">
        <w:br/>
        <w:t xml:space="preserve">3. </w:t>
      </w:r>
      <w:r w:rsidRPr="009B6C73">
        <w:rPr>
          <w:i/>
          <w:iCs/>
        </w:rPr>
        <w:t>Requests</w:t>
      </w:r>
      <w:r w:rsidRPr="009B6C73">
        <w:t> the Secretary-General to designate a </w:t>
      </w:r>
      <w:hyperlink r:id="rId21" w:history="1">
        <w:r w:rsidRPr="009B6C73">
          <w:rPr>
            <w:rStyle w:val="Hyperlink"/>
          </w:rPr>
          <w:t>Special Representative</w:t>
        </w:r>
      </w:hyperlink>
      <w:r w:rsidRPr="009B6C73">
        <w:t> to proceed to the Middle East to establish and maintain contacts with the States concerned in order to promote agreement and assist efforts to achieve a peaceful and accepted settlement in accordance with the provisions and principles in this resolution;</w:t>
      </w:r>
      <w:r w:rsidRPr="009B6C73">
        <w:br/>
      </w:r>
      <w:r w:rsidRPr="009B6C73">
        <w:br/>
        <w:t xml:space="preserve">4. </w:t>
      </w:r>
      <w:proofErr w:type="gramStart"/>
      <w:r w:rsidRPr="009B6C73">
        <w:rPr>
          <w:i/>
          <w:iCs/>
        </w:rPr>
        <w:t>Requests</w:t>
      </w:r>
      <w:r w:rsidRPr="009B6C73">
        <w:t> the Secretary-General to report to the Security Council on the progress of the efforts of the Special Representative as soon as possible.</w:t>
      </w:r>
      <w:proofErr w:type="gramEnd"/>
    </w:p>
    <w:p w:rsidR="00BF00A4" w:rsidRDefault="00BF00A4" w:rsidP="00B112B1"/>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02534E" w:rsidRDefault="0002534E"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02534E">
      <w:pPr>
        <w:jc w:val="center"/>
      </w:pPr>
    </w:p>
    <w:p w:rsidR="00BF00A4" w:rsidRDefault="00BF00A4" w:rsidP="00BF00A4"/>
    <w:p w:rsidR="00BF00A4" w:rsidRDefault="00BF00A4" w:rsidP="0002534E">
      <w:pPr>
        <w:jc w:val="center"/>
      </w:pPr>
    </w:p>
    <w:p w:rsidR="00BF00A4" w:rsidRPr="0002534E" w:rsidRDefault="00BF00A4" w:rsidP="0002534E">
      <w:pPr>
        <w:jc w:val="center"/>
      </w:pPr>
    </w:p>
    <w:sectPr w:rsidR="00BF00A4" w:rsidRPr="0002534E" w:rsidSect="004D1EA0">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proofState w:spelling="clean" w:grammar="clean"/>
  <w:defaultTabStop w:val="720"/>
  <w:characterSpacingControl w:val="doNotCompress"/>
  <w:compat>
    <w:useFELayout/>
  </w:compat>
  <w:rsids>
    <w:rsidRoot w:val="0002534E"/>
    <w:rsid w:val="0002534E"/>
    <w:rsid w:val="0012251B"/>
    <w:rsid w:val="004D1EA0"/>
    <w:rsid w:val="00550574"/>
    <w:rsid w:val="00900CC7"/>
    <w:rsid w:val="009B6C73"/>
    <w:rsid w:val="00B112B1"/>
    <w:rsid w:val="00BF00A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251B"/>
  </w:style>
  <w:style w:type="paragraph" w:styleId="Heading3">
    <w:name w:val="heading 3"/>
    <w:basedOn w:val="Normal"/>
    <w:link w:val="Heading3Char"/>
    <w:uiPriority w:val="9"/>
    <w:qFormat/>
    <w:rsid w:val="0002534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253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534E"/>
    <w:rPr>
      <w:rFonts w:ascii="Tahoma" w:hAnsi="Tahoma" w:cs="Tahoma"/>
      <w:sz w:val="16"/>
      <w:szCs w:val="16"/>
    </w:rPr>
  </w:style>
  <w:style w:type="paragraph" w:styleId="NormalWeb">
    <w:name w:val="Normal (Web)"/>
    <w:basedOn w:val="Normal"/>
    <w:uiPriority w:val="99"/>
    <w:unhideWhenUsed/>
    <w:rsid w:val="0002534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02534E"/>
  </w:style>
  <w:style w:type="character" w:styleId="Hyperlink">
    <w:name w:val="Hyperlink"/>
    <w:basedOn w:val="DefaultParagraphFont"/>
    <w:uiPriority w:val="99"/>
    <w:unhideWhenUsed/>
    <w:rsid w:val="0002534E"/>
    <w:rPr>
      <w:color w:val="0000FF"/>
      <w:u w:val="single"/>
    </w:rPr>
  </w:style>
  <w:style w:type="character" w:customStyle="1" w:styleId="Heading3Char">
    <w:name w:val="Heading 3 Char"/>
    <w:basedOn w:val="DefaultParagraphFont"/>
    <w:link w:val="Heading3"/>
    <w:uiPriority w:val="9"/>
    <w:rsid w:val="0002534E"/>
    <w:rPr>
      <w:rFonts w:ascii="Times New Roman" w:eastAsia="Times New Roman" w:hAnsi="Times New Roman" w:cs="Times New Roman"/>
      <w:b/>
      <w:bCs/>
      <w:sz w:val="27"/>
      <w:szCs w:val="27"/>
    </w:rPr>
  </w:style>
  <w:style w:type="character" w:styleId="Strong">
    <w:name w:val="Strong"/>
    <w:basedOn w:val="DefaultParagraphFont"/>
    <w:uiPriority w:val="22"/>
    <w:qFormat/>
    <w:rsid w:val="009B6C7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02534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253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534E"/>
    <w:rPr>
      <w:rFonts w:ascii="Tahoma" w:hAnsi="Tahoma" w:cs="Tahoma"/>
      <w:sz w:val="16"/>
      <w:szCs w:val="16"/>
    </w:rPr>
  </w:style>
  <w:style w:type="paragraph" w:styleId="NormalWeb">
    <w:name w:val="Normal (Web)"/>
    <w:basedOn w:val="Normal"/>
    <w:uiPriority w:val="99"/>
    <w:unhideWhenUsed/>
    <w:rsid w:val="0002534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02534E"/>
  </w:style>
  <w:style w:type="character" w:styleId="Hyperlink">
    <w:name w:val="Hyperlink"/>
    <w:basedOn w:val="DefaultParagraphFont"/>
    <w:uiPriority w:val="99"/>
    <w:unhideWhenUsed/>
    <w:rsid w:val="0002534E"/>
    <w:rPr>
      <w:color w:val="0000FF"/>
      <w:u w:val="single"/>
    </w:rPr>
  </w:style>
  <w:style w:type="character" w:customStyle="1" w:styleId="Heading3Char">
    <w:name w:val="Heading 3 Char"/>
    <w:basedOn w:val="DefaultParagraphFont"/>
    <w:link w:val="Heading3"/>
    <w:uiPriority w:val="9"/>
    <w:rsid w:val="0002534E"/>
    <w:rPr>
      <w:rFonts w:ascii="Times New Roman" w:eastAsia="Times New Roman" w:hAnsi="Times New Roman" w:cs="Times New Roman"/>
      <w:b/>
      <w:bCs/>
      <w:sz w:val="27"/>
      <w:szCs w:val="27"/>
    </w:rPr>
  </w:style>
  <w:style w:type="character" w:styleId="Strong">
    <w:name w:val="Strong"/>
    <w:basedOn w:val="DefaultParagraphFont"/>
    <w:uiPriority w:val="22"/>
    <w:qFormat/>
    <w:rsid w:val="009B6C73"/>
    <w:rPr>
      <w:b/>
      <w:bCs/>
    </w:rPr>
  </w:style>
</w:styles>
</file>

<file path=word/webSettings.xml><?xml version="1.0" encoding="utf-8"?>
<w:webSettings xmlns:r="http://schemas.openxmlformats.org/officeDocument/2006/relationships" xmlns:w="http://schemas.openxmlformats.org/wordprocessingml/2006/main">
  <w:divs>
    <w:div w:id="325090571">
      <w:bodyDiv w:val="1"/>
      <w:marLeft w:val="0"/>
      <w:marRight w:val="0"/>
      <w:marTop w:val="0"/>
      <w:marBottom w:val="0"/>
      <w:divBdr>
        <w:top w:val="none" w:sz="0" w:space="0" w:color="auto"/>
        <w:left w:val="none" w:sz="0" w:space="0" w:color="auto"/>
        <w:bottom w:val="none" w:sz="0" w:space="0" w:color="auto"/>
        <w:right w:val="none" w:sz="0" w:space="0" w:color="auto"/>
      </w:divBdr>
      <w:divsChild>
        <w:div w:id="15165801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2516365">
              <w:blockQuote w:val="1"/>
              <w:marLeft w:val="720"/>
              <w:marRight w:val="720"/>
              <w:marTop w:val="100"/>
              <w:marBottom w:val="100"/>
              <w:divBdr>
                <w:top w:val="none" w:sz="0" w:space="0" w:color="auto"/>
                <w:left w:val="none" w:sz="0" w:space="0" w:color="auto"/>
                <w:bottom w:val="none" w:sz="0" w:space="0" w:color="auto"/>
                <w:right w:val="none" w:sz="0" w:space="0" w:color="auto"/>
              </w:divBdr>
            </w:div>
            <w:div w:id="2071616728">
              <w:blockQuote w:val="1"/>
              <w:marLeft w:val="720"/>
              <w:marRight w:val="720"/>
              <w:marTop w:val="100"/>
              <w:marBottom w:val="100"/>
              <w:divBdr>
                <w:top w:val="none" w:sz="0" w:space="0" w:color="auto"/>
                <w:left w:val="none" w:sz="0" w:space="0" w:color="auto"/>
                <w:bottom w:val="none" w:sz="0" w:space="0" w:color="auto"/>
                <w:right w:val="none" w:sz="0" w:space="0" w:color="auto"/>
              </w:divBdr>
            </w:div>
            <w:div w:id="20948125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09893913">
      <w:bodyDiv w:val="1"/>
      <w:marLeft w:val="0"/>
      <w:marRight w:val="0"/>
      <w:marTop w:val="0"/>
      <w:marBottom w:val="0"/>
      <w:divBdr>
        <w:top w:val="none" w:sz="0" w:space="0" w:color="auto"/>
        <w:left w:val="none" w:sz="0" w:space="0" w:color="auto"/>
        <w:bottom w:val="none" w:sz="0" w:space="0" w:color="auto"/>
        <w:right w:val="none" w:sz="0" w:space="0" w:color="auto"/>
      </w:divBdr>
    </w:div>
    <w:div w:id="569776945">
      <w:bodyDiv w:val="1"/>
      <w:marLeft w:val="0"/>
      <w:marRight w:val="0"/>
      <w:marTop w:val="0"/>
      <w:marBottom w:val="0"/>
      <w:divBdr>
        <w:top w:val="none" w:sz="0" w:space="0" w:color="auto"/>
        <w:left w:val="none" w:sz="0" w:space="0" w:color="auto"/>
        <w:bottom w:val="none" w:sz="0" w:space="0" w:color="auto"/>
        <w:right w:val="none" w:sz="0" w:space="0" w:color="auto"/>
      </w:divBdr>
      <w:divsChild>
        <w:div w:id="2071659067">
          <w:marLeft w:val="0"/>
          <w:marRight w:val="0"/>
          <w:marTop w:val="0"/>
          <w:marBottom w:val="0"/>
          <w:divBdr>
            <w:top w:val="none" w:sz="0" w:space="0" w:color="auto"/>
            <w:left w:val="none" w:sz="0" w:space="0" w:color="auto"/>
            <w:bottom w:val="none" w:sz="0" w:space="0" w:color="auto"/>
            <w:right w:val="none" w:sz="0" w:space="0" w:color="auto"/>
          </w:divBdr>
        </w:div>
      </w:divsChild>
    </w:div>
    <w:div w:id="598760973">
      <w:bodyDiv w:val="1"/>
      <w:marLeft w:val="0"/>
      <w:marRight w:val="0"/>
      <w:marTop w:val="0"/>
      <w:marBottom w:val="0"/>
      <w:divBdr>
        <w:top w:val="none" w:sz="0" w:space="0" w:color="auto"/>
        <w:left w:val="none" w:sz="0" w:space="0" w:color="auto"/>
        <w:bottom w:val="none" w:sz="0" w:space="0" w:color="auto"/>
        <w:right w:val="none" w:sz="0" w:space="0" w:color="auto"/>
      </w:divBdr>
      <w:divsChild>
        <w:div w:id="326128610">
          <w:marLeft w:val="0"/>
          <w:marRight w:val="0"/>
          <w:marTop w:val="0"/>
          <w:marBottom w:val="0"/>
          <w:divBdr>
            <w:top w:val="none" w:sz="0" w:space="0" w:color="auto"/>
            <w:left w:val="none" w:sz="0" w:space="0" w:color="auto"/>
            <w:bottom w:val="none" w:sz="0" w:space="0" w:color="auto"/>
            <w:right w:val="none" w:sz="0" w:space="0" w:color="auto"/>
          </w:divBdr>
        </w:div>
      </w:divsChild>
    </w:div>
    <w:div w:id="870000740">
      <w:bodyDiv w:val="1"/>
      <w:marLeft w:val="0"/>
      <w:marRight w:val="0"/>
      <w:marTop w:val="0"/>
      <w:marBottom w:val="0"/>
      <w:divBdr>
        <w:top w:val="none" w:sz="0" w:space="0" w:color="auto"/>
        <w:left w:val="none" w:sz="0" w:space="0" w:color="auto"/>
        <w:bottom w:val="none" w:sz="0" w:space="0" w:color="auto"/>
        <w:right w:val="none" w:sz="0" w:space="0" w:color="auto"/>
      </w:divBdr>
      <w:divsChild>
        <w:div w:id="1721123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0594453">
      <w:bodyDiv w:val="1"/>
      <w:marLeft w:val="0"/>
      <w:marRight w:val="0"/>
      <w:marTop w:val="0"/>
      <w:marBottom w:val="0"/>
      <w:divBdr>
        <w:top w:val="none" w:sz="0" w:space="0" w:color="auto"/>
        <w:left w:val="none" w:sz="0" w:space="0" w:color="auto"/>
        <w:bottom w:val="none" w:sz="0" w:space="0" w:color="auto"/>
        <w:right w:val="none" w:sz="0" w:space="0" w:color="auto"/>
      </w:divBdr>
      <w:divsChild>
        <w:div w:id="1533305963">
          <w:marLeft w:val="0"/>
          <w:marRight w:val="0"/>
          <w:marTop w:val="0"/>
          <w:marBottom w:val="0"/>
          <w:divBdr>
            <w:top w:val="none" w:sz="0" w:space="0" w:color="auto"/>
            <w:left w:val="none" w:sz="0" w:space="0" w:color="auto"/>
            <w:bottom w:val="none" w:sz="0" w:space="0" w:color="auto"/>
            <w:right w:val="none" w:sz="0" w:space="0" w:color="auto"/>
          </w:divBdr>
          <w:divsChild>
            <w:div w:id="1004667768">
              <w:marLeft w:val="0"/>
              <w:marRight w:val="0"/>
              <w:marTop w:val="0"/>
              <w:marBottom w:val="0"/>
              <w:divBdr>
                <w:top w:val="none" w:sz="0" w:space="0" w:color="auto"/>
                <w:left w:val="none" w:sz="0" w:space="0" w:color="auto"/>
                <w:bottom w:val="none" w:sz="0" w:space="0" w:color="auto"/>
                <w:right w:val="none" w:sz="0" w:space="0" w:color="auto"/>
              </w:divBdr>
            </w:div>
            <w:div w:id="625087902">
              <w:marLeft w:val="0"/>
              <w:marRight w:val="0"/>
              <w:marTop w:val="0"/>
              <w:marBottom w:val="0"/>
              <w:divBdr>
                <w:top w:val="none" w:sz="0" w:space="0" w:color="auto"/>
                <w:left w:val="none" w:sz="0" w:space="0" w:color="auto"/>
                <w:bottom w:val="none" w:sz="0" w:space="0" w:color="auto"/>
                <w:right w:val="none" w:sz="0" w:space="0" w:color="auto"/>
              </w:divBdr>
            </w:div>
          </w:divsChild>
        </w:div>
        <w:div w:id="140394288">
          <w:marLeft w:val="0"/>
          <w:marRight w:val="0"/>
          <w:marTop w:val="0"/>
          <w:marBottom w:val="0"/>
          <w:divBdr>
            <w:top w:val="none" w:sz="0" w:space="0" w:color="auto"/>
            <w:left w:val="none" w:sz="0" w:space="0" w:color="auto"/>
            <w:bottom w:val="none" w:sz="0" w:space="0" w:color="auto"/>
            <w:right w:val="none" w:sz="0" w:space="0" w:color="auto"/>
          </w:divBdr>
        </w:div>
        <w:div w:id="482236270">
          <w:marLeft w:val="0"/>
          <w:marRight w:val="0"/>
          <w:marTop w:val="0"/>
          <w:marBottom w:val="0"/>
          <w:divBdr>
            <w:top w:val="none" w:sz="0" w:space="0" w:color="auto"/>
            <w:left w:val="none" w:sz="0" w:space="0" w:color="auto"/>
            <w:bottom w:val="none" w:sz="0" w:space="0" w:color="auto"/>
            <w:right w:val="none" w:sz="0" w:space="0" w:color="auto"/>
          </w:divBdr>
          <w:divsChild>
            <w:div w:id="773206039">
              <w:marLeft w:val="0"/>
              <w:marRight w:val="0"/>
              <w:marTop w:val="0"/>
              <w:marBottom w:val="0"/>
              <w:divBdr>
                <w:top w:val="none" w:sz="0" w:space="0" w:color="auto"/>
                <w:left w:val="none" w:sz="0" w:space="0" w:color="auto"/>
                <w:bottom w:val="none" w:sz="0" w:space="0" w:color="auto"/>
                <w:right w:val="none" w:sz="0" w:space="0" w:color="auto"/>
              </w:divBdr>
            </w:div>
            <w:div w:id="1871140238">
              <w:marLeft w:val="0"/>
              <w:marRight w:val="0"/>
              <w:marTop w:val="0"/>
              <w:marBottom w:val="0"/>
              <w:divBdr>
                <w:top w:val="none" w:sz="0" w:space="0" w:color="auto"/>
                <w:left w:val="none" w:sz="0" w:space="0" w:color="auto"/>
                <w:bottom w:val="none" w:sz="0" w:space="0" w:color="auto"/>
                <w:right w:val="none" w:sz="0" w:space="0" w:color="auto"/>
              </w:divBdr>
            </w:div>
            <w:div w:id="118227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747561">
      <w:bodyDiv w:val="1"/>
      <w:marLeft w:val="0"/>
      <w:marRight w:val="0"/>
      <w:marTop w:val="0"/>
      <w:marBottom w:val="0"/>
      <w:divBdr>
        <w:top w:val="none" w:sz="0" w:space="0" w:color="auto"/>
        <w:left w:val="none" w:sz="0" w:space="0" w:color="auto"/>
        <w:bottom w:val="none" w:sz="0" w:space="0" w:color="auto"/>
        <w:right w:val="none" w:sz="0" w:space="0" w:color="auto"/>
      </w:divBdr>
      <w:divsChild>
        <w:div w:id="456072769">
          <w:marLeft w:val="0"/>
          <w:marRight w:val="0"/>
          <w:marTop w:val="0"/>
          <w:marBottom w:val="0"/>
          <w:divBdr>
            <w:top w:val="none" w:sz="0" w:space="0" w:color="auto"/>
            <w:left w:val="none" w:sz="0" w:space="0" w:color="auto"/>
            <w:bottom w:val="none" w:sz="0" w:space="0" w:color="auto"/>
            <w:right w:val="none" w:sz="0" w:space="0" w:color="auto"/>
          </w:divBdr>
        </w:div>
        <w:div w:id="561059667">
          <w:marLeft w:val="0"/>
          <w:marRight w:val="0"/>
          <w:marTop w:val="0"/>
          <w:marBottom w:val="0"/>
          <w:divBdr>
            <w:top w:val="none" w:sz="0" w:space="0" w:color="auto"/>
            <w:left w:val="none" w:sz="0" w:space="0" w:color="auto"/>
            <w:bottom w:val="none" w:sz="0" w:space="0" w:color="auto"/>
            <w:right w:val="none" w:sz="0" w:space="0" w:color="auto"/>
          </w:divBdr>
        </w:div>
        <w:div w:id="1829786428">
          <w:marLeft w:val="0"/>
          <w:marRight w:val="0"/>
          <w:marTop w:val="0"/>
          <w:marBottom w:val="0"/>
          <w:divBdr>
            <w:top w:val="none" w:sz="0" w:space="0" w:color="auto"/>
            <w:left w:val="none" w:sz="0" w:space="0" w:color="auto"/>
            <w:bottom w:val="none" w:sz="0" w:space="0" w:color="auto"/>
            <w:right w:val="none" w:sz="0" w:space="0" w:color="auto"/>
          </w:divBdr>
        </w:div>
      </w:divsChild>
    </w:div>
    <w:div w:id="1225065176">
      <w:bodyDiv w:val="1"/>
      <w:marLeft w:val="0"/>
      <w:marRight w:val="0"/>
      <w:marTop w:val="0"/>
      <w:marBottom w:val="0"/>
      <w:divBdr>
        <w:top w:val="none" w:sz="0" w:space="0" w:color="auto"/>
        <w:left w:val="none" w:sz="0" w:space="0" w:color="auto"/>
        <w:bottom w:val="none" w:sz="0" w:space="0" w:color="auto"/>
        <w:right w:val="none" w:sz="0" w:space="0" w:color="auto"/>
      </w:divBdr>
    </w:div>
    <w:div w:id="1259410921">
      <w:bodyDiv w:val="1"/>
      <w:marLeft w:val="0"/>
      <w:marRight w:val="0"/>
      <w:marTop w:val="0"/>
      <w:marBottom w:val="0"/>
      <w:divBdr>
        <w:top w:val="none" w:sz="0" w:space="0" w:color="auto"/>
        <w:left w:val="none" w:sz="0" w:space="0" w:color="auto"/>
        <w:bottom w:val="none" w:sz="0" w:space="0" w:color="auto"/>
        <w:right w:val="none" w:sz="0" w:space="0" w:color="auto"/>
      </w:divBdr>
    </w:div>
    <w:div w:id="1759208142">
      <w:bodyDiv w:val="1"/>
      <w:marLeft w:val="0"/>
      <w:marRight w:val="0"/>
      <w:marTop w:val="0"/>
      <w:marBottom w:val="0"/>
      <w:divBdr>
        <w:top w:val="none" w:sz="0" w:space="0" w:color="auto"/>
        <w:left w:val="none" w:sz="0" w:space="0" w:color="auto"/>
        <w:bottom w:val="none" w:sz="0" w:space="0" w:color="auto"/>
        <w:right w:val="none" w:sz="0" w:space="0" w:color="auto"/>
      </w:divBdr>
    </w:div>
    <w:div w:id="2057923074">
      <w:bodyDiv w:val="1"/>
      <w:marLeft w:val="0"/>
      <w:marRight w:val="0"/>
      <w:marTop w:val="0"/>
      <w:marBottom w:val="0"/>
      <w:divBdr>
        <w:top w:val="none" w:sz="0" w:space="0" w:color="auto"/>
        <w:left w:val="none" w:sz="0" w:space="0" w:color="auto"/>
        <w:bottom w:val="none" w:sz="0" w:space="0" w:color="auto"/>
        <w:right w:val="none" w:sz="0" w:space="0" w:color="auto"/>
      </w:divBdr>
      <w:divsChild>
        <w:div w:id="1746763563">
          <w:marLeft w:val="0"/>
          <w:marRight w:val="0"/>
          <w:marTop w:val="0"/>
          <w:marBottom w:val="0"/>
          <w:divBdr>
            <w:top w:val="none" w:sz="0" w:space="0" w:color="auto"/>
            <w:left w:val="none" w:sz="0" w:space="0" w:color="auto"/>
            <w:bottom w:val="none" w:sz="0" w:space="0" w:color="auto"/>
            <w:right w:val="none" w:sz="0" w:space="0" w:color="auto"/>
          </w:divBdr>
          <w:divsChild>
            <w:div w:id="1141506267">
              <w:marLeft w:val="0"/>
              <w:marRight w:val="0"/>
              <w:marTop w:val="0"/>
              <w:marBottom w:val="0"/>
              <w:divBdr>
                <w:top w:val="none" w:sz="0" w:space="0" w:color="auto"/>
                <w:left w:val="none" w:sz="0" w:space="0" w:color="auto"/>
                <w:bottom w:val="none" w:sz="0" w:space="0" w:color="auto"/>
                <w:right w:val="none" w:sz="0" w:space="0" w:color="auto"/>
              </w:divBdr>
            </w:div>
            <w:div w:id="1485590022">
              <w:marLeft w:val="0"/>
              <w:marRight w:val="0"/>
              <w:marTop w:val="0"/>
              <w:marBottom w:val="0"/>
              <w:divBdr>
                <w:top w:val="none" w:sz="0" w:space="0" w:color="auto"/>
                <w:left w:val="none" w:sz="0" w:space="0" w:color="auto"/>
                <w:bottom w:val="none" w:sz="0" w:space="0" w:color="auto"/>
                <w:right w:val="none" w:sz="0" w:space="0" w:color="auto"/>
              </w:divBdr>
            </w:div>
          </w:divsChild>
        </w:div>
        <w:div w:id="1086462364">
          <w:marLeft w:val="0"/>
          <w:marRight w:val="0"/>
          <w:marTop w:val="0"/>
          <w:marBottom w:val="0"/>
          <w:divBdr>
            <w:top w:val="none" w:sz="0" w:space="0" w:color="auto"/>
            <w:left w:val="none" w:sz="0" w:space="0" w:color="auto"/>
            <w:bottom w:val="none" w:sz="0" w:space="0" w:color="auto"/>
            <w:right w:val="none" w:sz="0" w:space="0" w:color="auto"/>
          </w:divBdr>
        </w:div>
        <w:div w:id="583540021">
          <w:marLeft w:val="0"/>
          <w:marRight w:val="0"/>
          <w:marTop w:val="0"/>
          <w:marBottom w:val="0"/>
          <w:divBdr>
            <w:top w:val="none" w:sz="0" w:space="0" w:color="auto"/>
            <w:left w:val="none" w:sz="0" w:space="0" w:color="auto"/>
            <w:bottom w:val="none" w:sz="0" w:space="0" w:color="auto"/>
            <w:right w:val="none" w:sz="0" w:space="0" w:color="auto"/>
          </w:divBdr>
          <w:divsChild>
            <w:div w:id="2106917638">
              <w:marLeft w:val="0"/>
              <w:marRight w:val="0"/>
              <w:marTop w:val="0"/>
              <w:marBottom w:val="0"/>
              <w:divBdr>
                <w:top w:val="none" w:sz="0" w:space="0" w:color="auto"/>
                <w:left w:val="none" w:sz="0" w:space="0" w:color="auto"/>
                <w:bottom w:val="none" w:sz="0" w:space="0" w:color="auto"/>
                <w:right w:val="none" w:sz="0" w:space="0" w:color="auto"/>
              </w:divBdr>
            </w:div>
            <w:div w:id="2030986383">
              <w:marLeft w:val="0"/>
              <w:marRight w:val="0"/>
              <w:marTop w:val="0"/>
              <w:marBottom w:val="0"/>
              <w:divBdr>
                <w:top w:val="none" w:sz="0" w:space="0" w:color="auto"/>
                <w:left w:val="none" w:sz="0" w:space="0" w:color="auto"/>
                <w:bottom w:val="none" w:sz="0" w:space="0" w:color="auto"/>
                <w:right w:val="none" w:sz="0" w:space="0" w:color="auto"/>
              </w:divBdr>
            </w:div>
            <w:div w:id="146886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jewishvirtuallibrary.org/jsource/History/dectoc.html" TargetMode="External"/><Relationship Id="rId13" Type="http://schemas.openxmlformats.org/officeDocument/2006/relationships/image" Target="media/image3.jpeg"/><Relationship Id="rId18" Type="http://schemas.openxmlformats.org/officeDocument/2006/relationships/image" Target="media/image8.gif"/><Relationship Id="rId3" Type="http://schemas.openxmlformats.org/officeDocument/2006/relationships/webSettings" Target="webSettings.xml"/><Relationship Id="rId21" Type="http://schemas.openxmlformats.org/officeDocument/2006/relationships/hyperlink" Target="http://unispal.un.org/unispal.nsf/a3a86c621dde46a385257b2f00515055?OpenView" TargetMode="External"/><Relationship Id="rId7" Type="http://schemas.openxmlformats.org/officeDocument/2006/relationships/hyperlink" Target="http://www.jewishvirtuallibrary.org/jsource/UN/untoc.html" TargetMode="External"/><Relationship Id="rId12" Type="http://schemas.openxmlformats.org/officeDocument/2006/relationships/image" Target="media/image2.gif"/><Relationship Id="rId17" Type="http://schemas.openxmlformats.org/officeDocument/2006/relationships/image" Target="media/image7.gif"/><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hyperlink" Target="http://unispal.un.org/unispal.nsf/cf02d057b04d356385256ddb006dc02f/b08a2e4d1fde5cec85256b98006e752f?OpenDocument" TargetMode="External"/><Relationship Id="rId1" Type="http://schemas.openxmlformats.org/officeDocument/2006/relationships/styles" Target="styles.xml"/><Relationship Id="rId6" Type="http://schemas.openxmlformats.org/officeDocument/2006/relationships/hyperlink" Target="http://www.jewishvirtuallibrary.org/jsource/History/parttoc.html" TargetMode="External"/><Relationship Id="rId11" Type="http://schemas.openxmlformats.org/officeDocument/2006/relationships/hyperlink" Target="http://www.jewishvirtuallibrary.org/jsource/Society_&amp;_Culture/geo/Haifatoc.html" TargetMode="External"/><Relationship Id="rId24" Type="http://schemas.microsoft.com/office/2007/relationships/stylesWithEffects" Target="stylesWithEffects.xml"/><Relationship Id="rId5" Type="http://schemas.openxmlformats.org/officeDocument/2006/relationships/hyperlink" Target="http://www.jewishvirtuallibrary.org/jsource/UN/untoc.html" TargetMode="Externa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http://www.jewishvirtuallibrary.org/jsource/vie/Tiberias.html" TargetMode="External"/><Relationship Id="rId19" Type="http://schemas.openxmlformats.org/officeDocument/2006/relationships/hyperlink" Target="http://unispal.un.org/unispal.nsf/1ce874ab1832a53e852570bb006dfaf6/b905003c9f1fb4c685256e05007665d5?OpenDocument" TargetMode="External"/><Relationship Id="rId4" Type="http://schemas.openxmlformats.org/officeDocument/2006/relationships/image" Target="media/image1.png"/><Relationship Id="rId9" Type="http://schemas.openxmlformats.org/officeDocument/2006/relationships/hyperlink" Target="http://www.jewishvirtuallibrary.org/jsource/UN/sctoc.html"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10</Pages>
  <Words>2706</Words>
  <Characters>15427</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18097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006435</dc:creator>
  <cp:lastModifiedBy>006435</cp:lastModifiedBy>
  <cp:revision>3</cp:revision>
  <cp:lastPrinted>2015-02-25T14:52:00Z</cp:lastPrinted>
  <dcterms:created xsi:type="dcterms:W3CDTF">2015-02-24T16:54:00Z</dcterms:created>
  <dcterms:modified xsi:type="dcterms:W3CDTF">2015-02-25T14:58:00Z</dcterms:modified>
</cp:coreProperties>
</file>